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315" w:rsidRDefault="00B01315" w:rsidP="00B01315">
      <w:pPr>
        <w:bidi w:val="0"/>
        <w:ind w:right="-496"/>
        <w:jc w:val="center"/>
        <w:rPr>
          <w:b/>
          <w:bCs/>
          <w:sz w:val="40"/>
          <w:szCs w:val="40"/>
          <w:lang w:bidi="ar-IQ"/>
        </w:rPr>
      </w:pPr>
      <w:r>
        <w:rPr>
          <w:noProof/>
        </w:rPr>
        <mc:AlternateContent>
          <mc:Choice Requires="wps">
            <w:drawing>
              <wp:anchor distT="0" distB="0" distL="114300" distR="114300" simplePos="0" relativeHeight="251661312" behindDoc="0" locked="0" layoutInCell="1" allowOverlap="1">
                <wp:simplePos x="0" y="0"/>
                <wp:positionH relativeFrom="column">
                  <wp:posOffset>-66040</wp:posOffset>
                </wp:positionH>
                <wp:positionV relativeFrom="paragraph">
                  <wp:posOffset>-31750</wp:posOffset>
                </wp:positionV>
                <wp:extent cx="5453380" cy="1285875"/>
                <wp:effectExtent l="33020" t="28575" r="28575" b="28575"/>
                <wp:wrapNone/>
                <wp:docPr id="4" name="مربع ن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453380" cy="1285875"/>
                        </a:xfrm>
                        <a:prstGeom prst="rect">
                          <a:avLst/>
                        </a:prstGeom>
                        <a:solidFill>
                          <a:srgbClr val="FFFFFF"/>
                        </a:solidFill>
                        <a:ln w="57150" cmpd="thinThick">
                          <a:solidFill>
                            <a:srgbClr val="000000"/>
                          </a:solidFill>
                          <a:miter lim="800000"/>
                          <a:headEnd/>
                          <a:tailEnd/>
                        </a:ln>
                      </wps:spPr>
                      <wps:txbx>
                        <w:txbxContent>
                          <w:p w:rsidR="00B01315" w:rsidRPr="0031221F" w:rsidRDefault="00B01315" w:rsidP="00B01315">
                            <w:pPr>
                              <w:bidi w:val="0"/>
                              <w:ind w:right="-17"/>
                              <w:jc w:val="center"/>
                              <w:rPr>
                                <w:b/>
                                <w:bCs/>
                                <w:sz w:val="28"/>
                                <w:szCs w:val="28"/>
                                <w:lang w:bidi="ar-IQ"/>
                              </w:rPr>
                            </w:pPr>
                            <w:r w:rsidRPr="0031221F">
                              <w:rPr>
                                <w:b/>
                                <w:bCs/>
                                <w:sz w:val="28"/>
                                <w:szCs w:val="28"/>
                                <w:lang w:bidi="ar-IQ"/>
                              </w:rPr>
                              <w:t xml:space="preserve">The Role of </w:t>
                            </w:r>
                            <w:proofErr w:type="spellStart"/>
                            <w:r w:rsidRPr="0031221F">
                              <w:rPr>
                                <w:b/>
                                <w:bCs/>
                                <w:sz w:val="28"/>
                                <w:szCs w:val="28"/>
                              </w:rPr>
                              <w:t>Thyrotropin</w:t>
                            </w:r>
                            <w:proofErr w:type="spellEnd"/>
                            <w:r w:rsidRPr="0031221F">
                              <w:rPr>
                                <w:b/>
                                <w:bCs/>
                                <w:sz w:val="28"/>
                                <w:szCs w:val="28"/>
                                <w:lang w:bidi="ar-IQ"/>
                              </w:rPr>
                              <w:t xml:space="preserve"> Hormone Receptor Antibody (</w:t>
                            </w:r>
                            <w:proofErr w:type="spellStart"/>
                            <w:r w:rsidRPr="0031221F">
                              <w:rPr>
                                <w:b/>
                                <w:bCs/>
                                <w:sz w:val="28"/>
                                <w:szCs w:val="28"/>
                                <w:lang w:bidi="ar-IQ"/>
                              </w:rPr>
                              <w:t>TRAb</w:t>
                            </w:r>
                            <w:proofErr w:type="spellEnd"/>
                            <w:r w:rsidRPr="0031221F">
                              <w:rPr>
                                <w:b/>
                                <w:bCs/>
                                <w:sz w:val="28"/>
                                <w:szCs w:val="28"/>
                                <w:lang w:bidi="ar-IQ"/>
                              </w:rPr>
                              <w:t xml:space="preserve">) in Distinguishing between Autoimmune and non-Autoimmune Disease </w:t>
                            </w:r>
                          </w:p>
                          <w:p w:rsidR="00B01315" w:rsidRDefault="00B01315" w:rsidP="00B01315">
                            <w:pPr>
                              <w:bidi w:val="0"/>
                              <w:ind w:right="-496"/>
                              <w:rPr>
                                <w:b/>
                                <w:bCs/>
                                <w:sz w:val="40"/>
                                <w:szCs w:val="40"/>
                                <w:lang w:bidi="ar-IQ"/>
                              </w:rPr>
                            </w:pPr>
                          </w:p>
                          <w:p w:rsidR="00B01315" w:rsidRPr="0031221F" w:rsidRDefault="00B01315" w:rsidP="00B01315">
                            <w:pPr>
                              <w:bidi w:val="0"/>
                              <w:ind w:right="-496"/>
                              <w:rPr>
                                <w:lang w:bidi="ar-IQ"/>
                              </w:rPr>
                            </w:pPr>
                            <w:proofErr w:type="spellStart"/>
                            <w:r w:rsidRPr="0031221F">
                              <w:rPr>
                                <w:lang w:bidi="ar-IQ"/>
                              </w:rPr>
                              <w:t>Moaed</w:t>
                            </w:r>
                            <w:proofErr w:type="spellEnd"/>
                            <w:r w:rsidRPr="0031221F">
                              <w:rPr>
                                <w:lang w:bidi="ar-IQ"/>
                              </w:rPr>
                              <w:t xml:space="preserve"> </w:t>
                            </w:r>
                            <w:proofErr w:type="spellStart"/>
                            <w:r w:rsidRPr="0031221F">
                              <w:rPr>
                                <w:lang w:bidi="ar-IQ"/>
                              </w:rPr>
                              <w:t>Emran</w:t>
                            </w:r>
                            <w:proofErr w:type="spellEnd"/>
                            <w:r w:rsidRPr="0031221F">
                              <w:rPr>
                                <w:lang w:bidi="ar-IQ"/>
                              </w:rPr>
                              <w:t xml:space="preserve"> Al-</w:t>
                            </w:r>
                            <w:proofErr w:type="spellStart"/>
                            <w:r w:rsidRPr="0031221F">
                              <w:rPr>
                                <w:lang w:bidi="ar-IQ"/>
                              </w:rPr>
                              <w:t>Gazally</w:t>
                            </w:r>
                            <w:proofErr w:type="spellEnd"/>
                            <w:r w:rsidRPr="0031221F">
                              <w:rPr>
                                <w:lang w:bidi="ar-IQ"/>
                              </w:rPr>
                              <w:t xml:space="preserve">   </w:t>
                            </w:r>
                            <w:r>
                              <w:rPr>
                                <w:lang w:bidi="ar-IQ"/>
                              </w:rPr>
                              <w:t xml:space="preserve">       </w:t>
                            </w:r>
                            <w:proofErr w:type="spellStart"/>
                            <w:r>
                              <w:rPr>
                                <w:lang w:bidi="ar-IQ"/>
                              </w:rPr>
                              <w:t>Muhanned</w:t>
                            </w:r>
                            <w:proofErr w:type="spellEnd"/>
                            <w:r>
                              <w:rPr>
                                <w:lang w:bidi="ar-IQ"/>
                              </w:rPr>
                              <w:t xml:space="preserve"> Abbas Al-</w:t>
                            </w:r>
                            <w:proofErr w:type="spellStart"/>
                            <w:r>
                              <w:rPr>
                                <w:lang w:bidi="ar-IQ"/>
                              </w:rPr>
                              <w:t>shalah</w:t>
                            </w:r>
                            <w:proofErr w:type="spellEnd"/>
                            <w:r>
                              <w:rPr>
                                <w:lang w:bidi="ar-IQ"/>
                              </w:rPr>
                              <w:t xml:space="preserve">  </w:t>
                            </w:r>
                            <w:r w:rsidR="00F577D4">
                              <w:rPr>
                                <w:lang w:bidi="ar-IQ"/>
                              </w:rPr>
                              <w:t xml:space="preserve">      </w:t>
                            </w:r>
                            <w:r>
                              <w:rPr>
                                <w:lang w:bidi="ar-IQ"/>
                              </w:rPr>
                              <w:t xml:space="preserve"> </w:t>
                            </w:r>
                            <w:proofErr w:type="spellStart"/>
                            <w:r w:rsidRPr="0031221F">
                              <w:rPr>
                                <w:lang w:bidi="ar-IQ"/>
                              </w:rPr>
                              <w:t>Saif</w:t>
                            </w:r>
                            <w:proofErr w:type="spellEnd"/>
                            <w:r w:rsidRPr="0031221F">
                              <w:rPr>
                                <w:lang w:bidi="ar-IQ"/>
                              </w:rPr>
                              <w:t xml:space="preserve"> Ali </w:t>
                            </w:r>
                            <w:proofErr w:type="spellStart"/>
                            <w:r w:rsidRPr="0031221F">
                              <w:rPr>
                                <w:lang w:bidi="ar-IQ"/>
                              </w:rPr>
                              <w:t>Muttaleb</w:t>
                            </w:r>
                            <w:proofErr w:type="spellEnd"/>
                          </w:p>
                          <w:p w:rsidR="00B01315" w:rsidRPr="0031221F" w:rsidRDefault="00B01315" w:rsidP="00B01315">
                            <w:pPr>
                              <w:bidi w:val="0"/>
                            </w:pPr>
                            <w:r w:rsidRPr="0031221F">
                              <w:t xml:space="preserve">College of Medicine, University of Babylon, </w:t>
                            </w:r>
                            <w:proofErr w:type="spellStart"/>
                            <w:r w:rsidRPr="0031221F">
                              <w:t>Hilla</w:t>
                            </w:r>
                            <w:proofErr w:type="spellEnd"/>
                            <w:r w:rsidRPr="0031221F">
                              <w:t>, Ir</w:t>
                            </w:r>
                            <w:bookmarkStart w:id="0" w:name="_GoBack"/>
                            <w:bookmarkEnd w:id="0"/>
                            <w:r w:rsidRPr="0031221F">
                              <w:t>aq.</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4" o:spid="_x0000_s1026" type="#_x0000_t202" style="position:absolute;left:0;text-align:left;margin-left:-5.2pt;margin-top:-2.5pt;width:429.4pt;height:101.2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" strokeweight="4.5pt">
                <v:stroke linestyle="thinThick"/>
                <v:textbox>
                  <w:txbxContent>
                    <w:p w:rsidR="00B01315" w:rsidRPr="0031221F" w:rsidRDefault="00B01315" w:rsidP="00B01315">
                      <w:pPr>
                        <w:bidi w:val="0"/>
                        <w:ind w:right="-17"/>
                        <w:jc w:val="center"/>
                        <w:rPr>
                          <w:b/>
                          <w:bCs/>
                          <w:sz w:val="28"/>
                          <w:szCs w:val="28"/>
                          <w:lang w:bidi="ar-IQ"/>
                        </w:rPr>
                      </w:pPr>
                      <w:r w:rsidRPr="0031221F">
                        <w:rPr>
                          <w:b/>
                          <w:bCs/>
                          <w:sz w:val="28"/>
                          <w:szCs w:val="28"/>
                          <w:lang w:bidi="ar-IQ"/>
                        </w:rPr>
                        <w:t xml:space="preserve">The Role of </w:t>
                      </w:r>
                      <w:proofErr w:type="spellStart"/>
                      <w:r w:rsidRPr="0031221F">
                        <w:rPr>
                          <w:b/>
                          <w:bCs/>
                          <w:sz w:val="28"/>
                          <w:szCs w:val="28"/>
                        </w:rPr>
                        <w:t>Thyrotropin</w:t>
                      </w:r>
                      <w:proofErr w:type="spellEnd"/>
                      <w:r w:rsidRPr="0031221F">
                        <w:rPr>
                          <w:b/>
                          <w:bCs/>
                          <w:sz w:val="28"/>
                          <w:szCs w:val="28"/>
                          <w:lang w:bidi="ar-IQ"/>
                        </w:rPr>
                        <w:t xml:space="preserve"> Hormone Receptor Antibody (</w:t>
                      </w:r>
                      <w:proofErr w:type="spellStart"/>
                      <w:r w:rsidRPr="0031221F">
                        <w:rPr>
                          <w:b/>
                          <w:bCs/>
                          <w:sz w:val="28"/>
                          <w:szCs w:val="28"/>
                          <w:lang w:bidi="ar-IQ"/>
                        </w:rPr>
                        <w:t>TRAb</w:t>
                      </w:r>
                      <w:proofErr w:type="spellEnd"/>
                      <w:r w:rsidRPr="0031221F">
                        <w:rPr>
                          <w:b/>
                          <w:bCs/>
                          <w:sz w:val="28"/>
                          <w:szCs w:val="28"/>
                          <w:lang w:bidi="ar-IQ"/>
                        </w:rPr>
                        <w:t xml:space="preserve">) in Distinguishing between Autoimmune and non-Autoimmune Disease </w:t>
                      </w:r>
                    </w:p>
                    <w:p w:rsidR="00B01315" w:rsidRDefault="00B01315" w:rsidP="00B01315">
                      <w:pPr>
                        <w:bidi w:val="0"/>
                        <w:ind w:right="-496"/>
                        <w:rPr>
                          <w:b/>
                          <w:bCs/>
                          <w:sz w:val="40"/>
                          <w:szCs w:val="40"/>
                          <w:lang w:bidi="ar-IQ"/>
                        </w:rPr>
                      </w:pPr>
                    </w:p>
                    <w:p w:rsidR="00B01315" w:rsidRPr="0031221F" w:rsidRDefault="00B01315" w:rsidP="00B01315">
                      <w:pPr>
                        <w:bidi w:val="0"/>
                        <w:ind w:right="-496"/>
                        <w:rPr>
                          <w:lang w:bidi="ar-IQ"/>
                        </w:rPr>
                      </w:pPr>
                      <w:proofErr w:type="spellStart"/>
                      <w:r w:rsidRPr="0031221F">
                        <w:rPr>
                          <w:lang w:bidi="ar-IQ"/>
                        </w:rPr>
                        <w:t>Moaed</w:t>
                      </w:r>
                      <w:proofErr w:type="spellEnd"/>
                      <w:r w:rsidRPr="0031221F">
                        <w:rPr>
                          <w:lang w:bidi="ar-IQ"/>
                        </w:rPr>
                        <w:t xml:space="preserve"> </w:t>
                      </w:r>
                      <w:proofErr w:type="spellStart"/>
                      <w:r w:rsidRPr="0031221F">
                        <w:rPr>
                          <w:lang w:bidi="ar-IQ"/>
                        </w:rPr>
                        <w:t>Emran</w:t>
                      </w:r>
                      <w:proofErr w:type="spellEnd"/>
                      <w:r w:rsidRPr="0031221F">
                        <w:rPr>
                          <w:lang w:bidi="ar-IQ"/>
                        </w:rPr>
                        <w:t xml:space="preserve"> Al-</w:t>
                      </w:r>
                      <w:proofErr w:type="spellStart"/>
                      <w:r w:rsidRPr="0031221F">
                        <w:rPr>
                          <w:lang w:bidi="ar-IQ"/>
                        </w:rPr>
                        <w:t>Gazally</w:t>
                      </w:r>
                      <w:proofErr w:type="spellEnd"/>
                      <w:r w:rsidRPr="0031221F">
                        <w:rPr>
                          <w:lang w:bidi="ar-IQ"/>
                        </w:rPr>
                        <w:t xml:space="preserve">   </w:t>
                      </w:r>
                      <w:r>
                        <w:rPr>
                          <w:lang w:bidi="ar-IQ"/>
                        </w:rPr>
                        <w:t xml:space="preserve">       </w:t>
                      </w:r>
                      <w:proofErr w:type="spellStart"/>
                      <w:r>
                        <w:rPr>
                          <w:lang w:bidi="ar-IQ"/>
                        </w:rPr>
                        <w:t>Muhanned</w:t>
                      </w:r>
                      <w:proofErr w:type="spellEnd"/>
                      <w:r>
                        <w:rPr>
                          <w:lang w:bidi="ar-IQ"/>
                        </w:rPr>
                        <w:t xml:space="preserve"> Abbas Al-</w:t>
                      </w:r>
                      <w:proofErr w:type="spellStart"/>
                      <w:r>
                        <w:rPr>
                          <w:lang w:bidi="ar-IQ"/>
                        </w:rPr>
                        <w:t>shalah</w:t>
                      </w:r>
                      <w:proofErr w:type="spellEnd"/>
                      <w:r>
                        <w:rPr>
                          <w:lang w:bidi="ar-IQ"/>
                        </w:rPr>
                        <w:t xml:space="preserve">  </w:t>
                      </w:r>
                      <w:r w:rsidR="00F577D4">
                        <w:rPr>
                          <w:lang w:bidi="ar-IQ"/>
                        </w:rPr>
                        <w:t xml:space="preserve">      </w:t>
                      </w:r>
                      <w:r>
                        <w:rPr>
                          <w:lang w:bidi="ar-IQ"/>
                        </w:rPr>
                        <w:t xml:space="preserve"> </w:t>
                      </w:r>
                      <w:proofErr w:type="spellStart"/>
                      <w:r w:rsidRPr="0031221F">
                        <w:rPr>
                          <w:lang w:bidi="ar-IQ"/>
                        </w:rPr>
                        <w:t>Saif</w:t>
                      </w:r>
                      <w:proofErr w:type="spellEnd"/>
                      <w:r w:rsidRPr="0031221F">
                        <w:rPr>
                          <w:lang w:bidi="ar-IQ"/>
                        </w:rPr>
                        <w:t xml:space="preserve"> Ali </w:t>
                      </w:r>
                      <w:proofErr w:type="spellStart"/>
                      <w:r w:rsidRPr="0031221F">
                        <w:rPr>
                          <w:lang w:bidi="ar-IQ"/>
                        </w:rPr>
                        <w:t>Muttaleb</w:t>
                      </w:r>
                      <w:proofErr w:type="spellEnd"/>
                    </w:p>
                    <w:p w:rsidR="00B01315" w:rsidRPr="0031221F" w:rsidRDefault="00B01315" w:rsidP="00B01315">
                      <w:pPr>
                        <w:bidi w:val="0"/>
                      </w:pPr>
                      <w:r w:rsidRPr="0031221F">
                        <w:t xml:space="preserve">College of Medicine, University of Babylon, </w:t>
                      </w:r>
                      <w:proofErr w:type="spellStart"/>
                      <w:r w:rsidRPr="0031221F">
                        <w:t>Hilla</w:t>
                      </w:r>
                      <w:proofErr w:type="spellEnd"/>
                      <w:r w:rsidRPr="0031221F">
                        <w:t>, Ir</w:t>
                      </w:r>
                      <w:bookmarkStart w:id="1" w:name="_GoBack"/>
                      <w:bookmarkEnd w:id="1"/>
                      <w:r w:rsidRPr="0031221F">
                        <w:t>aq.</w:t>
                      </w:r>
                    </w:p>
                  </w:txbxContent>
                </v:textbox>
              </v:shape>
            </w:pict>
          </mc:Fallback>
        </mc:AlternateContent>
      </w:r>
    </w:p>
    <w:p w:rsidR="00B01315" w:rsidRDefault="00B01315" w:rsidP="00B01315">
      <w:pPr>
        <w:bidi w:val="0"/>
        <w:ind w:right="-496"/>
        <w:jc w:val="center"/>
        <w:rPr>
          <w:b/>
          <w:bCs/>
          <w:sz w:val="32"/>
          <w:szCs w:val="32"/>
          <w:lang w:bidi="ar-IQ"/>
        </w:rPr>
      </w:pPr>
    </w:p>
    <w:p w:rsidR="00B01315" w:rsidRDefault="00B01315" w:rsidP="00B01315">
      <w:pPr>
        <w:bidi w:val="0"/>
        <w:ind w:right="-496"/>
        <w:jc w:val="center"/>
        <w:rPr>
          <w:b/>
          <w:bCs/>
          <w:sz w:val="32"/>
          <w:szCs w:val="32"/>
          <w:lang w:bidi="ar-IQ"/>
        </w:rPr>
      </w:pPr>
    </w:p>
    <w:p w:rsidR="00B01315" w:rsidRDefault="00B01315" w:rsidP="00B01315">
      <w:pPr>
        <w:bidi w:val="0"/>
        <w:ind w:right="-496"/>
        <w:jc w:val="center"/>
        <w:rPr>
          <w:b/>
          <w:bCs/>
          <w:sz w:val="32"/>
          <w:szCs w:val="32"/>
          <w:lang w:bidi="ar-IQ"/>
        </w:rPr>
      </w:pPr>
    </w:p>
    <w:p w:rsidR="00B01315" w:rsidRDefault="00B01315" w:rsidP="00B01315">
      <w:pPr>
        <w:bidi w:val="0"/>
        <w:ind w:right="-496"/>
        <w:jc w:val="center"/>
        <w:rPr>
          <w:b/>
          <w:bCs/>
          <w:sz w:val="32"/>
          <w:szCs w:val="32"/>
          <w:lang w:bidi="ar-IQ"/>
        </w:rPr>
      </w:pPr>
    </w:p>
    <w:p w:rsidR="00B01315" w:rsidRDefault="00B01315" w:rsidP="00B01315">
      <w:pPr>
        <w:bidi w:val="0"/>
        <w:ind w:right="-496"/>
        <w:jc w:val="center"/>
        <w:rPr>
          <w:b/>
          <w:bCs/>
          <w:sz w:val="32"/>
          <w:szCs w:val="32"/>
          <w:lang w:bidi="ar-IQ"/>
        </w:rPr>
      </w:pPr>
    </w:p>
    <w:p w:rsidR="00B01315" w:rsidRDefault="00B01315" w:rsidP="00B01315">
      <w:pPr>
        <w:bidi w:val="0"/>
        <w:ind w:right="-496"/>
        <w:jc w:val="center"/>
        <w:rPr>
          <w:b/>
          <w:bCs/>
          <w:sz w:val="32"/>
          <w:szCs w:val="32"/>
          <w:lang w:bidi="ar-IQ"/>
        </w:rPr>
      </w:pPr>
      <w:r>
        <w:rPr>
          <w:b/>
          <w:bCs/>
          <w:noProof/>
          <w:sz w:val="32"/>
          <w:szCs w:val="32"/>
        </w:rPr>
        <mc:AlternateContent>
          <mc:Choice Requires="wps">
            <w:drawing>
              <wp:anchor distT="0" distB="0" distL="114300" distR="114300" simplePos="0" relativeHeight="251662336" behindDoc="0" locked="0" layoutInCell="1" allowOverlap="1">
                <wp:simplePos x="0" y="0"/>
                <wp:positionH relativeFrom="column">
                  <wp:posOffset>2059940</wp:posOffset>
                </wp:positionH>
                <wp:positionV relativeFrom="paragraph">
                  <wp:posOffset>8255</wp:posOffset>
                </wp:positionV>
                <wp:extent cx="1257300" cy="1028700"/>
                <wp:effectExtent l="19050" t="0" r="38100" b="38100"/>
                <wp:wrapNone/>
                <wp:docPr id="3" name="شريط منحني إلى الأعلى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028700"/>
                        </a:xfrm>
                        <a:prstGeom prst="ellipseRibbon2">
                          <a:avLst>
                            <a:gd name="adj1" fmla="val 33333"/>
                            <a:gd name="adj2" fmla="val 50000"/>
                            <a:gd name="adj3" fmla="val 12500"/>
                          </a:avLst>
                        </a:prstGeom>
                        <a:solidFill>
                          <a:srgbClr val="FFFFFF"/>
                        </a:solidFill>
                        <a:ln w="9525">
                          <a:solidFill>
                            <a:srgbClr val="000000"/>
                          </a:solidFill>
                          <a:round/>
                          <a:headEnd/>
                          <a:tailEnd/>
                        </a:ln>
                      </wps:spPr>
                      <wps:txbx>
                        <w:txbxContent>
                          <w:p w:rsidR="00B01315" w:rsidRDefault="00B01315" w:rsidP="00B01315">
                            <w:pPr>
                              <w:jc w:val="center"/>
                              <w:rPr>
                                <w:b/>
                                <w:bCs/>
                                <w:sz w:val="18"/>
                                <w:szCs w:val="18"/>
                                <w:lang w:bidi="ar-IQ"/>
                              </w:rPr>
                            </w:pPr>
                          </w:p>
                          <w:p w:rsidR="00B01315" w:rsidRDefault="00B01315" w:rsidP="00B01315">
                            <w:pPr>
                              <w:jc w:val="center"/>
                              <w:rPr>
                                <w:b/>
                                <w:bCs/>
                                <w:lang w:bidi="ar-IQ"/>
                              </w:rPr>
                            </w:pPr>
                            <w:r>
                              <w:rPr>
                                <w:b/>
                                <w:bCs/>
                              </w:rPr>
                              <w:t xml:space="preserve">M </w:t>
                            </w:r>
                            <w:r>
                              <w:rPr>
                                <w:b/>
                                <w:bCs/>
                                <w:sz w:val="36"/>
                                <w:szCs w:val="36"/>
                              </w:rPr>
                              <w:t>J</w:t>
                            </w:r>
                            <w:r>
                              <w:rPr>
                                <w:b/>
                                <w:bCs/>
                              </w:rPr>
                              <w:t xml:space="preserve"> B</w:t>
                            </w:r>
                          </w:p>
                          <w:p w:rsidR="00B01315" w:rsidRPr="002F1223" w:rsidRDefault="00B01315" w:rsidP="00B01315">
                            <w:pPr>
                              <w:jc w:val="center"/>
                              <w:rPr>
                                <w:b/>
                                <w:bCs/>
                                <w:rtl/>
                                <w:lang w:bidi="ar-IQ"/>
                              </w:rPr>
                            </w:pPr>
                          </w:p>
                          <w:p w:rsidR="00B01315" w:rsidRDefault="00B01315" w:rsidP="00B01315">
                            <w:pPr>
                              <w:jc w:val="center"/>
                              <w:rPr>
                                <w:b/>
                                <w:bCs/>
                                <w:szCs w:val="32"/>
                                <w:rtl/>
                                <w:lang w:bidi="ar-IQ"/>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8" coordsize="21600,21600" o:spt="108" adj="5400,16200,2700" path="wr@9@34@8@35,0@24@0@23@9,0@8@11@0@22@19@22@9@34@8@35@19@23@3@24l@7@36@3@4at@9@31@8@32@3@4@18@30@9@1@8@33@18@28@17@28@9@31@8@32@17@30,0@4l@5@36xear@9@1@8@33@17@28@0@29nfl@17@30ewr@9@1@8@33@18@28@19@29nfl@18@30em@0@23nfl@0@29em@19@23nfl@19@29e">
                <v:formulas>
                  <v:f eqn="val #0"/>
                  <v:f eqn="val #1"/>
                  <v:f eqn="val #2"/>
                  <v:f eqn="val width"/>
                  <v:f eqn="val height"/>
                  <v:f eqn="prod width 1 8"/>
                  <v:f eqn="prod width 1 2"/>
                  <v:f eqn="prod width 7 8"/>
                  <v:f eqn="prod width 3 2"/>
                  <v:f eqn="sum 0 0 @6"/>
                  <v:f eqn="prod #2 30573 4096"/>
                  <v:f eqn="prod @10 2 1"/>
                  <v:f eqn="sum @10 height #2"/>
                  <v:f eqn="sum @10 #1 0"/>
                  <v:f eqn="prod #1 1 2"/>
                  <v:f eqn="sum @10 @14 0"/>
                  <v:f eqn="sum @12 0 #1"/>
                  <v:f eqn="sum #0 @5 0"/>
                  <v:f eqn="sum width 0 @17"/>
                  <v:f eqn="sum width 0 #0"/>
                  <v:f eqn="sum @6 0 #0"/>
                  <v:f eqn="ellipse @20 width @10"/>
                  <v:f eqn="sum @10 0 @21"/>
                  <v:f eqn="sum @22 @16 @10"/>
                  <v:f eqn="sum #2 @16 @10"/>
                  <v:f eqn="prod @10 2391 32768"/>
                  <v:f eqn="sum @6 0 @17"/>
                  <v:f eqn="ellipse @26 width @10"/>
                  <v:f eqn="sum @10 #1 @27"/>
                  <v:f eqn="sum @22 #1 0"/>
                  <v:f eqn="sum @12 0 @27"/>
                  <v:f eqn="sum height 0 #2"/>
                  <v:f eqn="sum @10 @12 0"/>
                  <v:f eqn="sum @32 @10 @16"/>
                  <v:f eqn="sum @31 @10 @13"/>
                  <v:f eqn="sum @32 @10 @13"/>
                  <v:f eqn="sum @25 @12 @15"/>
                  <v:f eqn="sum @16 0 @15"/>
                  <v:f eqn="prod @37 2 3"/>
                  <v:f eqn="sum @1 @38 0"/>
                  <v:f eqn="sum #2 @38 0"/>
                  <v:f eqn="max @40 675"/>
                  <v:f eqn="prod width 3 8"/>
                  <v:f eqn="sum @42 0 4"/>
                </v:formulas>
                <v:path o:extrusionok="f" o:connecttype="custom" o:connectlocs="@6,0;@5,@36;@6,@1;@7,@36" o:connectangles="270,180,90,0" textboxrect="@0,@22,@19,@1"/>
                <v:handles>
                  <v:h position="#0,topLeft" xrange="@5,@43"/>
                  <v:h position="center,#1" yrange="@39,@31"/>
                  <v:h position="topLeft,#2" yrange="@41,@24"/>
                </v:handles>
                <o:complex v:ext="view"/>
              </v:shapetype>
              <v:shape id="شريط منحني إلى الأعلى 3" o:spid="_x0000_s1027" type="#_x0000_t108" style="position:absolute;left:0;text-align:left;margin-left:162.2pt;margin-top:.65pt;width:99pt;height: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" adj=",14400">
                <v:textbox>
                  <w:txbxContent>
                    <w:p w:rsidR="00B01315" w:rsidRDefault="00B01315" w:rsidP="00B01315">
                      <w:pPr>
                        <w:jc w:val="center"/>
                        <w:rPr>
                          <w:b/>
                          <w:bCs/>
                          <w:sz w:val="18"/>
                          <w:szCs w:val="18"/>
                          <w:lang w:bidi="ar-IQ"/>
                        </w:rPr>
                      </w:pPr>
                    </w:p>
                    <w:p w:rsidR="00B01315" w:rsidRDefault="00B01315" w:rsidP="00B01315">
                      <w:pPr>
                        <w:jc w:val="center"/>
                        <w:rPr>
                          <w:b/>
                          <w:bCs/>
                          <w:lang w:bidi="ar-IQ"/>
                        </w:rPr>
                      </w:pPr>
                      <w:r>
                        <w:rPr>
                          <w:b/>
                          <w:bCs/>
                        </w:rPr>
                        <w:t xml:space="preserve">M </w:t>
                      </w:r>
                      <w:r>
                        <w:rPr>
                          <w:b/>
                          <w:bCs/>
                          <w:sz w:val="36"/>
                          <w:szCs w:val="36"/>
                        </w:rPr>
                        <w:t>J</w:t>
                      </w:r>
                      <w:r>
                        <w:rPr>
                          <w:b/>
                          <w:bCs/>
                        </w:rPr>
                        <w:t xml:space="preserve"> B</w:t>
                      </w:r>
                    </w:p>
                    <w:p w:rsidR="00B01315" w:rsidRPr="002F1223" w:rsidRDefault="00B01315" w:rsidP="00B01315">
                      <w:pPr>
                        <w:jc w:val="center"/>
                        <w:rPr>
                          <w:b/>
                          <w:bCs/>
                          <w:rtl/>
                          <w:lang w:bidi="ar-IQ"/>
                        </w:rPr>
                      </w:pPr>
                    </w:p>
                    <w:p w:rsidR="00B01315" w:rsidRDefault="00B01315" w:rsidP="00B01315">
                      <w:pPr>
                        <w:jc w:val="center"/>
                        <w:rPr>
                          <w:b/>
                          <w:bCs/>
                          <w:szCs w:val="32"/>
                          <w:rtl/>
                          <w:lang w:bidi="ar-IQ"/>
                        </w:rPr>
                      </w:pPr>
                    </w:p>
                  </w:txbxContent>
                </v:textbox>
              </v:shape>
            </w:pict>
          </mc:Fallback>
        </mc:AlternateContent>
      </w:r>
    </w:p>
    <w:p w:rsidR="00B01315" w:rsidRDefault="00B01315" w:rsidP="00B01315">
      <w:pPr>
        <w:bidi w:val="0"/>
        <w:ind w:right="-496"/>
        <w:jc w:val="center"/>
        <w:rPr>
          <w:b/>
          <w:bCs/>
          <w:sz w:val="32"/>
          <w:szCs w:val="32"/>
          <w:lang w:bidi="ar-IQ"/>
        </w:rPr>
      </w:pPr>
    </w:p>
    <w:p w:rsidR="00B01315" w:rsidRDefault="00B01315" w:rsidP="00B01315">
      <w:pPr>
        <w:bidi w:val="0"/>
        <w:ind w:right="-496"/>
        <w:jc w:val="center"/>
        <w:rPr>
          <w:b/>
          <w:bCs/>
          <w:sz w:val="32"/>
          <w:szCs w:val="32"/>
          <w:lang w:bidi="ar-IQ"/>
        </w:rPr>
      </w:pPr>
    </w:p>
    <w:p w:rsidR="00B01315" w:rsidRPr="00EA0559" w:rsidRDefault="00B01315" w:rsidP="00B01315">
      <w:pPr>
        <w:bidi w:val="0"/>
        <w:ind w:right="-496"/>
        <w:jc w:val="center"/>
        <w:rPr>
          <w:b/>
          <w:bCs/>
          <w:sz w:val="32"/>
          <w:szCs w:val="32"/>
          <w:lang w:bidi="ar-IQ"/>
        </w:rPr>
      </w:pPr>
    </w:p>
    <w:p w:rsidR="00B01315" w:rsidRPr="00423590" w:rsidRDefault="00B01315" w:rsidP="00B01315">
      <w:pPr>
        <w:bidi w:val="0"/>
        <w:ind w:right="-496"/>
        <w:rPr>
          <w:b/>
          <w:bCs/>
          <w:sz w:val="32"/>
          <w:szCs w:val="32"/>
          <w:lang w:bidi="ar-IQ"/>
        </w:rPr>
      </w:pPr>
    </w:p>
    <w:p w:rsidR="00B01315" w:rsidRPr="0031221F" w:rsidRDefault="00B01315" w:rsidP="00B01315">
      <w:pPr>
        <w:autoSpaceDE w:val="0"/>
        <w:autoSpaceDN w:val="0"/>
        <w:bidi w:val="0"/>
        <w:adjustRightInd w:val="0"/>
        <w:jc w:val="both"/>
        <w:rPr>
          <w:b/>
          <w:bCs/>
          <w:color w:val="000000"/>
          <w:u w:val="single"/>
        </w:rPr>
      </w:pPr>
      <w:r w:rsidRPr="0031221F">
        <w:rPr>
          <w:b/>
          <w:bCs/>
          <w:u w:val="single"/>
          <w:lang w:bidi="ar-IQ"/>
        </w:rPr>
        <w:t>Abstract</w:t>
      </w:r>
    </w:p>
    <w:p w:rsidR="00B01315" w:rsidRPr="0031221F" w:rsidRDefault="00B01315" w:rsidP="00B01315">
      <w:pPr>
        <w:autoSpaceDE w:val="0"/>
        <w:autoSpaceDN w:val="0"/>
        <w:bidi w:val="0"/>
        <w:adjustRightInd w:val="0"/>
        <w:ind w:firstLine="567"/>
        <w:jc w:val="lowKashida"/>
        <w:rPr>
          <w:sz w:val="20"/>
          <w:szCs w:val="20"/>
        </w:rPr>
      </w:pPr>
      <w:r w:rsidRPr="0031221F">
        <w:rPr>
          <w:sz w:val="20"/>
          <w:szCs w:val="20"/>
        </w:rPr>
        <w:t xml:space="preserve">The present study was intended to investigate </w:t>
      </w:r>
      <w:proofErr w:type="spellStart"/>
      <w:r w:rsidRPr="0031221F">
        <w:rPr>
          <w:sz w:val="20"/>
          <w:szCs w:val="20"/>
        </w:rPr>
        <w:t>Thyrotropin</w:t>
      </w:r>
      <w:proofErr w:type="spellEnd"/>
      <w:r w:rsidRPr="0031221F">
        <w:rPr>
          <w:sz w:val="20"/>
          <w:szCs w:val="20"/>
        </w:rPr>
        <w:t xml:space="preserve"> Receptor Antibody (</w:t>
      </w:r>
      <w:proofErr w:type="spellStart"/>
      <w:r w:rsidRPr="0031221F">
        <w:rPr>
          <w:sz w:val="20"/>
          <w:szCs w:val="20"/>
        </w:rPr>
        <w:t>TRAb</w:t>
      </w:r>
      <w:proofErr w:type="spellEnd"/>
      <w:r w:rsidRPr="0031221F">
        <w:rPr>
          <w:sz w:val="20"/>
          <w:szCs w:val="20"/>
        </w:rPr>
        <w:t xml:space="preserve">) level in hyperthyroidism. A total of 65 patients and 25 apparently healthy  as a controls were assessed. Twenty-seven of the 65 patients had Graves' disease, twenty-one had toxic nodular </w:t>
      </w:r>
      <w:proofErr w:type="spellStart"/>
      <w:r w:rsidRPr="0031221F">
        <w:rPr>
          <w:sz w:val="20"/>
          <w:szCs w:val="20"/>
        </w:rPr>
        <w:t>goitre</w:t>
      </w:r>
      <w:proofErr w:type="spellEnd"/>
      <w:r w:rsidRPr="0031221F">
        <w:rPr>
          <w:sz w:val="20"/>
          <w:szCs w:val="20"/>
        </w:rPr>
        <w:t xml:space="preserve"> and the remaining group had toxic nodule. In comparison with the control group, patients with diffuse </w:t>
      </w:r>
      <w:proofErr w:type="spellStart"/>
      <w:r w:rsidRPr="0031221F">
        <w:rPr>
          <w:sz w:val="20"/>
          <w:szCs w:val="20"/>
        </w:rPr>
        <w:t>goitre</w:t>
      </w:r>
      <w:proofErr w:type="spellEnd"/>
      <w:r w:rsidRPr="0031221F">
        <w:rPr>
          <w:sz w:val="20"/>
          <w:szCs w:val="20"/>
        </w:rPr>
        <w:t xml:space="preserve"> showed a highly significant increase in </w:t>
      </w:r>
      <w:proofErr w:type="spellStart"/>
      <w:r w:rsidRPr="0031221F">
        <w:rPr>
          <w:sz w:val="20"/>
          <w:szCs w:val="20"/>
        </w:rPr>
        <w:t>TRAb</w:t>
      </w:r>
      <w:proofErr w:type="spellEnd"/>
      <w:r w:rsidRPr="0031221F">
        <w:rPr>
          <w:sz w:val="20"/>
          <w:szCs w:val="20"/>
        </w:rPr>
        <w:t xml:space="preserve"> (P&lt;0.01) significant increase in </w:t>
      </w:r>
      <w:proofErr w:type="spellStart"/>
      <w:r w:rsidRPr="0031221F">
        <w:rPr>
          <w:sz w:val="20"/>
          <w:szCs w:val="20"/>
        </w:rPr>
        <w:t>TRAb</w:t>
      </w:r>
      <w:proofErr w:type="spellEnd"/>
      <w:r w:rsidRPr="0031221F">
        <w:rPr>
          <w:sz w:val="20"/>
          <w:szCs w:val="20"/>
        </w:rPr>
        <w:t xml:space="preserve"> (p &lt; 0.05) in nodular toxic </w:t>
      </w:r>
      <w:proofErr w:type="spellStart"/>
      <w:r w:rsidRPr="0031221F">
        <w:rPr>
          <w:sz w:val="20"/>
          <w:szCs w:val="20"/>
        </w:rPr>
        <w:t>goitre</w:t>
      </w:r>
      <w:proofErr w:type="spellEnd"/>
      <w:r w:rsidRPr="0031221F">
        <w:rPr>
          <w:sz w:val="20"/>
          <w:szCs w:val="20"/>
        </w:rPr>
        <w:t xml:space="preserve">, while </w:t>
      </w:r>
      <w:r w:rsidR="00672E5A" w:rsidRPr="0031221F">
        <w:rPr>
          <w:sz w:val="20"/>
          <w:szCs w:val="20"/>
        </w:rPr>
        <w:t>non-significant</w:t>
      </w:r>
      <w:r w:rsidRPr="0031221F">
        <w:rPr>
          <w:sz w:val="20"/>
          <w:szCs w:val="20"/>
        </w:rPr>
        <w:t xml:space="preserve"> (p&gt; 0.05) found in nodule toxic. Thyroid function tests appear significant increase (P&lt;0.01) T4, T3 while significant decrease in thyroid stimulating hormone TSH concentrations. The incidence of positive </w:t>
      </w:r>
      <w:proofErr w:type="spellStart"/>
      <w:r w:rsidRPr="0031221F">
        <w:rPr>
          <w:sz w:val="20"/>
          <w:szCs w:val="20"/>
        </w:rPr>
        <w:t>TRAb</w:t>
      </w:r>
      <w:proofErr w:type="spellEnd"/>
      <w:r w:rsidRPr="0031221F">
        <w:rPr>
          <w:sz w:val="20"/>
          <w:szCs w:val="20"/>
        </w:rPr>
        <w:t xml:space="preserve"> assay in diffuse </w:t>
      </w:r>
      <w:proofErr w:type="spellStart"/>
      <w:r w:rsidRPr="0031221F">
        <w:rPr>
          <w:sz w:val="20"/>
          <w:szCs w:val="20"/>
        </w:rPr>
        <w:t>goitre</w:t>
      </w:r>
      <w:proofErr w:type="spellEnd"/>
      <w:r w:rsidRPr="0031221F">
        <w:rPr>
          <w:sz w:val="20"/>
          <w:szCs w:val="20"/>
        </w:rPr>
        <w:t xml:space="preserve"> group was 89%, whereas 24% were positive in toxic nodular </w:t>
      </w:r>
      <w:proofErr w:type="spellStart"/>
      <w:r w:rsidRPr="0031221F">
        <w:rPr>
          <w:sz w:val="20"/>
          <w:szCs w:val="20"/>
        </w:rPr>
        <w:t>goitre</w:t>
      </w:r>
      <w:proofErr w:type="spellEnd"/>
      <w:r w:rsidRPr="0031221F">
        <w:rPr>
          <w:sz w:val="20"/>
          <w:szCs w:val="20"/>
        </w:rPr>
        <w:t xml:space="preserve"> group and 6% in toxic nodule. It can be concluded that as a practical method, </w:t>
      </w:r>
      <w:proofErr w:type="spellStart"/>
      <w:r w:rsidRPr="0031221F">
        <w:rPr>
          <w:sz w:val="20"/>
          <w:szCs w:val="20"/>
        </w:rPr>
        <w:t>TRAb</w:t>
      </w:r>
      <w:proofErr w:type="spellEnd"/>
      <w:r w:rsidRPr="0031221F">
        <w:rPr>
          <w:sz w:val="20"/>
          <w:szCs w:val="20"/>
        </w:rPr>
        <w:t xml:space="preserve"> assay may be useful in making a differential diagnosis of Graves' disease rather than other autoimmune thyroid diseases (toxic nodular and toxic nodule). </w:t>
      </w:r>
    </w:p>
    <w:p w:rsidR="00B01315" w:rsidRPr="0031221F" w:rsidRDefault="00B01315" w:rsidP="00B01315">
      <w:pPr>
        <w:autoSpaceDE w:val="0"/>
        <w:autoSpaceDN w:val="0"/>
        <w:bidi w:val="0"/>
        <w:adjustRightInd w:val="0"/>
      </w:pPr>
      <w:r w:rsidRPr="00DE355B">
        <w:rPr>
          <w:b/>
          <w:bCs/>
          <w:u w:val="single"/>
        </w:rPr>
        <w:t>Keywords:</w:t>
      </w:r>
      <w:r w:rsidRPr="0031221F">
        <w:rPr>
          <w:b/>
          <w:bCs/>
        </w:rPr>
        <w:t xml:space="preserve"> </w:t>
      </w:r>
      <w:proofErr w:type="spellStart"/>
      <w:r w:rsidRPr="0031221F">
        <w:t>Thyrotropin</w:t>
      </w:r>
      <w:proofErr w:type="spellEnd"/>
      <w:r w:rsidRPr="0031221F">
        <w:rPr>
          <w:lang w:bidi="ar-IQ"/>
        </w:rPr>
        <w:t xml:space="preserve"> hormone receptor antibody (</w:t>
      </w:r>
      <w:proofErr w:type="spellStart"/>
      <w:r w:rsidRPr="0031221F">
        <w:rPr>
          <w:lang w:bidi="ar-IQ"/>
        </w:rPr>
        <w:t>TRAb</w:t>
      </w:r>
      <w:proofErr w:type="spellEnd"/>
      <w:r w:rsidRPr="0031221F">
        <w:rPr>
          <w:lang w:bidi="ar-IQ"/>
        </w:rPr>
        <w:t>)</w:t>
      </w:r>
      <w:r w:rsidRPr="0031221F">
        <w:t xml:space="preserve">, Toxic </w:t>
      </w:r>
      <w:proofErr w:type="spellStart"/>
      <w:r w:rsidRPr="0031221F">
        <w:t>multinodular</w:t>
      </w:r>
      <w:proofErr w:type="spellEnd"/>
      <w:r w:rsidRPr="0031221F">
        <w:t xml:space="preserve"> TMN, Toxic nodule (TN), T4, T3.</w:t>
      </w:r>
    </w:p>
    <w:p w:rsidR="00B01315" w:rsidRPr="00DE355B" w:rsidRDefault="00B01315" w:rsidP="00B01315">
      <w:pPr>
        <w:jc w:val="both"/>
        <w:rPr>
          <w:rFonts w:ascii="Simplified Arabic" w:hAnsi="Simplified Arabic" w:cs="Simplified Arabic"/>
          <w:b/>
          <w:bCs/>
          <w:noProof/>
          <w:u w:val="single"/>
          <w:lang w:bidi="ar-IQ"/>
        </w:rPr>
      </w:pPr>
      <w:r w:rsidRPr="00DE355B">
        <w:rPr>
          <w:rFonts w:ascii="Simplified Arabic" w:hAnsi="Simplified Arabic" w:cs="Simplified Arabic"/>
          <w:b/>
          <w:bCs/>
          <w:noProof/>
          <w:u w:val="single"/>
          <w:rtl/>
        </w:rPr>
        <w:t>الخلاصة</w:t>
      </w:r>
    </w:p>
    <w:p w:rsidR="00B01315" w:rsidRPr="0031221F" w:rsidRDefault="00B01315" w:rsidP="00B01315">
      <w:pPr>
        <w:autoSpaceDE w:val="0"/>
        <w:autoSpaceDN w:val="0"/>
        <w:adjustRightInd w:val="0"/>
        <w:jc w:val="both"/>
        <w:rPr>
          <w:rFonts w:ascii="Simplified Arabic" w:hAnsi="Simplified Arabic" w:cs="Simplified Arabic"/>
          <w:sz w:val="20"/>
          <w:szCs w:val="20"/>
          <w:rtl/>
        </w:rPr>
      </w:pPr>
      <w:r w:rsidRPr="0031221F">
        <w:rPr>
          <w:rFonts w:ascii="Simplified Arabic" w:hAnsi="Simplified Arabic" w:cs="Simplified Arabic"/>
          <w:sz w:val="20"/>
          <w:szCs w:val="20"/>
          <w:rtl/>
        </w:rPr>
        <w:t xml:space="preserve">          تضمنت الدراسة معرفة مستوى الأضداد الذاتية للمستقبلات للهرمون المحفز للغدة الدرقية .</w:t>
      </w:r>
      <w:r>
        <w:rPr>
          <w:rFonts w:ascii="Simplified Arabic" w:hAnsi="Simplified Arabic" w:cs="Simplified Arabic" w:hint="cs"/>
          <w:sz w:val="20"/>
          <w:szCs w:val="20"/>
          <w:rtl/>
          <w:lang w:bidi="ar-IQ"/>
        </w:rPr>
        <w:t xml:space="preserve">حيث </w:t>
      </w:r>
      <w:r w:rsidRPr="0031221F">
        <w:rPr>
          <w:rFonts w:ascii="Simplified Arabic" w:hAnsi="Simplified Arabic" w:cs="Simplified Arabic"/>
          <w:sz w:val="20"/>
          <w:szCs w:val="20"/>
          <w:rtl/>
        </w:rPr>
        <w:t>شملت الدراسة 65مريضا مصابا بفرط إفراز هرمونات الغدة الدرقية و 25 شخص ظاهريا أصحاء كمجموعة سيطرة .27 من المرض</w:t>
      </w:r>
      <w:r w:rsidRPr="0031221F">
        <w:rPr>
          <w:rFonts w:ascii="Simplified Arabic" w:hAnsi="Simplified Arabic" w:cs="Simplified Arabic"/>
          <w:sz w:val="20"/>
          <w:szCs w:val="20"/>
          <w:rtl/>
          <w:lang w:bidi="ar-IQ"/>
        </w:rPr>
        <w:t>ى</w:t>
      </w:r>
      <w:r w:rsidRPr="0031221F">
        <w:rPr>
          <w:rFonts w:ascii="Simplified Arabic" w:hAnsi="Simplified Arabic" w:cs="Simplified Arabic"/>
          <w:sz w:val="20"/>
          <w:szCs w:val="20"/>
          <w:rtl/>
        </w:rPr>
        <w:t xml:space="preserve"> لديهم المرض المناعي التلقائي </w:t>
      </w:r>
      <w:r w:rsidRPr="0031221F">
        <w:rPr>
          <w:rFonts w:ascii="Simplified Arabic" w:hAnsi="Simplified Arabic" w:cs="Simplified Arabic"/>
          <w:sz w:val="20"/>
          <w:szCs w:val="20"/>
        </w:rPr>
        <w:t>,</w:t>
      </w:r>
      <w:r w:rsidRPr="0031221F">
        <w:rPr>
          <w:rFonts w:ascii="Simplified Arabic" w:hAnsi="Simplified Arabic" w:cs="Simplified Arabic"/>
          <w:sz w:val="20"/>
          <w:szCs w:val="20"/>
          <w:rtl/>
        </w:rPr>
        <w:t xml:space="preserve"> و 21من المرضى لديهم غدة درقيةُ متعددة العقد السامّةُ والمجموعةُ الباقيةُ لديها عقدةُ سامّةُ.</w:t>
      </w:r>
    </w:p>
    <w:p w:rsidR="00B01315" w:rsidRPr="0031221F" w:rsidRDefault="00B01315" w:rsidP="00476EB7">
      <w:pPr>
        <w:jc w:val="both"/>
        <w:rPr>
          <w:rFonts w:ascii="Simplified Arabic" w:hAnsi="Simplified Arabic" w:cs="Simplified Arabic"/>
          <w:sz w:val="20"/>
          <w:szCs w:val="20"/>
          <w:rtl/>
          <w:lang w:bidi="ar-IQ"/>
        </w:rPr>
      </w:pPr>
      <w:r w:rsidRPr="0031221F">
        <w:rPr>
          <w:rFonts w:ascii="Simplified Arabic" w:hAnsi="Simplified Arabic" w:cs="Simplified Arabic"/>
          <w:sz w:val="20"/>
          <w:szCs w:val="20"/>
          <w:rtl/>
        </w:rPr>
        <w:t xml:space="preserve">          </w:t>
      </w:r>
      <w:r w:rsidRPr="0031221F">
        <w:rPr>
          <w:rFonts w:ascii="Simplified Arabic" w:hAnsi="Simplified Arabic" w:cs="Simplified Arabic"/>
          <w:sz w:val="20"/>
          <w:szCs w:val="20"/>
          <w:rtl/>
          <w:lang w:bidi="ar-IQ"/>
        </w:rPr>
        <w:t>بالمقارنة مع مجموعة السيطرة, أظهرت نتائج  المرضى المصابين بالمرض المناعي التلقائي المنتشر (</w:t>
      </w:r>
      <w:r w:rsidRPr="0031221F">
        <w:rPr>
          <w:rFonts w:ascii="Simplified Arabic" w:hAnsi="Simplified Arabic" w:cs="Simplified Arabic"/>
          <w:sz w:val="20"/>
          <w:szCs w:val="20"/>
        </w:rPr>
        <w:t>Graves' disease</w:t>
      </w:r>
      <w:r w:rsidRPr="0031221F">
        <w:rPr>
          <w:rFonts w:ascii="Simplified Arabic" w:hAnsi="Simplified Arabic" w:cs="Simplified Arabic"/>
          <w:sz w:val="20"/>
          <w:szCs w:val="20"/>
          <w:rtl/>
          <w:lang w:bidi="ar-IQ"/>
        </w:rPr>
        <w:t xml:space="preserve"> ) وجود زيادة </w:t>
      </w:r>
      <w:r w:rsidRPr="0031221F">
        <w:rPr>
          <w:rFonts w:ascii="Simplified Arabic" w:hAnsi="Simplified Arabic" w:cs="Simplified Arabic"/>
          <w:sz w:val="20"/>
          <w:szCs w:val="20"/>
          <w:rtl/>
        </w:rPr>
        <w:t>عالية</w:t>
      </w:r>
      <w:r w:rsidRPr="0031221F">
        <w:rPr>
          <w:rFonts w:ascii="Simplified Arabic" w:hAnsi="Simplified Arabic" w:cs="Simplified Arabic"/>
          <w:sz w:val="20"/>
          <w:szCs w:val="20"/>
          <w:rtl/>
          <w:lang w:bidi="ar-IQ"/>
        </w:rPr>
        <w:t xml:space="preserve"> المعنوية في تركيز المضاد الذاتي للمستقبل هرمون الغدة الدرقية (</w:t>
      </w:r>
      <w:r w:rsidRPr="0031221F">
        <w:rPr>
          <w:rFonts w:ascii="Simplified Arabic" w:hAnsi="Simplified Arabic" w:cs="Simplified Arabic"/>
          <w:sz w:val="20"/>
          <w:szCs w:val="20"/>
          <w:lang w:bidi="ar-IQ"/>
        </w:rPr>
        <w:t>(P&lt;0.01</w:t>
      </w:r>
      <w:r w:rsidRPr="0031221F">
        <w:rPr>
          <w:rFonts w:ascii="Simplified Arabic" w:hAnsi="Simplified Arabic" w:cs="Simplified Arabic"/>
          <w:sz w:val="20"/>
          <w:szCs w:val="20"/>
          <w:rtl/>
          <w:lang w:bidi="ar-IQ"/>
        </w:rPr>
        <w:t xml:space="preserve"> كذلك زيادة معنوية في التركيز للمرضى المصابين بمتعدد العقد السامة</w:t>
      </w:r>
      <w:r w:rsidRPr="0031221F">
        <w:rPr>
          <w:rFonts w:ascii="Simplified Arabic" w:hAnsi="Simplified Arabic" w:cs="Simplified Arabic"/>
          <w:sz w:val="20"/>
          <w:szCs w:val="20"/>
          <w:lang w:bidi="ar-IQ"/>
        </w:rPr>
        <w:t xml:space="preserve"> P&lt;0.05) </w:t>
      </w:r>
      <w:r w:rsidRPr="0031221F">
        <w:rPr>
          <w:rFonts w:ascii="Simplified Arabic" w:hAnsi="Simplified Arabic" w:cs="Simplified Arabic"/>
          <w:sz w:val="20"/>
          <w:szCs w:val="20"/>
          <w:rtl/>
          <w:lang w:bidi="ar-IQ"/>
        </w:rPr>
        <w:t>) ,بينما لا يوجد فرق معنوي للمرضى المصابين بالعقدة السامة.</w:t>
      </w:r>
    </w:p>
    <w:p w:rsidR="00B01315" w:rsidRPr="0031221F" w:rsidRDefault="00B01315" w:rsidP="00476EB7">
      <w:pPr>
        <w:jc w:val="both"/>
        <w:rPr>
          <w:rFonts w:ascii="Simplified Arabic" w:hAnsi="Simplified Arabic" w:cs="Simplified Arabic"/>
          <w:sz w:val="20"/>
          <w:szCs w:val="20"/>
          <w:rtl/>
        </w:rPr>
      </w:pPr>
      <w:r w:rsidRPr="0031221F">
        <w:rPr>
          <w:rFonts w:ascii="Simplified Arabic" w:hAnsi="Simplified Arabic" w:cs="Simplified Arabic"/>
          <w:sz w:val="20"/>
          <w:szCs w:val="20"/>
          <w:rtl/>
          <w:lang w:bidi="ar-IQ"/>
        </w:rPr>
        <w:t xml:space="preserve">      اختبار هرمونات الغدة الدرقية يظهر زيادة </w:t>
      </w:r>
      <w:r w:rsidRPr="0031221F">
        <w:rPr>
          <w:rFonts w:ascii="Simplified Arabic" w:hAnsi="Simplified Arabic" w:cs="Simplified Arabic"/>
          <w:sz w:val="20"/>
          <w:szCs w:val="20"/>
          <w:rtl/>
        </w:rPr>
        <w:t>عالية</w:t>
      </w:r>
      <w:r w:rsidRPr="0031221F">
        <w:rPr>
          <w:rFonts w:ascii="Simplified Arabic" w:hAnsi="Simplified Arabic" w:cs="Simplified Arabic"/>
          <w:sz w:val="20"/>
          <w:szCs w:val="20"/>
          <w:rtl/>
          <w:lang w:bidi="ar-IQ"/>
        </w:rPr>
        <w:t xml:space="preserve"> المعنوية في تركيز كل من هرمون </w:t>
      </w:r>
      <w:r w:rsidRPr="0031221F">
        <w:rPr>
          <w:rFonts w:ascii="Simplified Arabic" w:hAnsi="Simplified Arabic" w:cs="Simplified Arabic"/>
          <w:sz w:val="20"/>
          <w:szCs w:val="20"/>
          <w:lang w:bidi="ar-IQ"/>
        </w:rPr>
        <w:t>T3</w:t>
      </w:r>
      <w:r w:rsidRPr="0031221F">
        <w:rPr>
          <w:rFonts w:ascii="Simplified Arabic" w:hAnsi="Simplified Arabic" w:cs="Simplified Arabic"/>
          <w:sz w:val="20"/>
          <w:szCs w:val="20"/>
          <w:rtl/>
        </w:rPr>
        <w:t xml:space="preserve"> و </w:t>
      </w:r>
      <w:r w:rsidRPr="0031221F">
        <w:rPr>
          <w:rFonts w:ascii="Simplified Arabic" w:hAnsi="Simplified Arabic" w:cs="Simplified Arabic"/>
          <w:sz w:val="20"/>
          <w:szCs w:val="20"/>
        </w:rPr>
        <w:t>T4</w:t>
      </w:r>
      <w:r w:rsidRPr="0031221F">
        <w:rPr>
          <w:rFonts w:ascii="Simplified Arabic" w:hAnsi="Simplified Arabic" w:cs="Simplified Arabic"/>
          <w:sz w:val="20"/>
          <w:szCs w:val="20"/>
          <w:rtl/>
        </w:rPr>
        <w:t xml:space="preserve"> </w:t>
      </w:r>
      <w:r w:rsidRPr="0031221F">
        <w:rPr>
          <w:rFonts w:ascii="Simplified Arabic" w:hAnsi="Simplified Arabic" w:cs="Simplified Arabic"/>
          <w:sz w:val="20"/>
          <w:szCs w:val="20"/>
          <w:rtl/>
          <w:lang w:bidi="ar-IQ"/>
        </w:rPr>
        <w:t>(</w:t>
      </w:r>
      <w:r w:rsidRPr="0031221F">
        <w:rPr>
          <w:rFonts w:ascii="Simplified Arabic" w:hAnsi="Simplified Arabic" w:cs="Simplified Arabic"/>
          <w:sz w:val="20"/>
          <w:szCs w:val="20"/>
          <w:lang w:bidi="ar-IQ"/>
        </w:rPr>
        <w:t>(P&lt;0.01</w:t>
      </w:r>
      <w:r w:rsidRPr="0031221F">
        <w:rPr>
          <w:rFonts w:ascii="Simplified Arabic" w:hAnsi="Simplified Arabic" w:cs="Simplified Arabic"/>
          <w:sz w:val="20"/>
          <w:szCs w:val="20"/>
          <w:rtl/>
          <w:lang w:bidi="ar-IQ"/>
        </w:rPr>
        <w:t xml:space="preserve"> بينما </w:t>
      </w:r>
      <w:r w:rsidRPr="0031221F">
        <w:rPr>
          <w:rFonts w:ascii="Simplified Arabic" w:hAnsi="Simplified Arabic" w:cs="Simplified Arabic"/>
          <w:sz w:val="20"/>
          <w:szCs w:val="20"/>
          <w:rtl/>
        </w:rPr>
        <w:t xml:space="preserve"> </w:t>
      </w:r>
      <w:r w:rsidRPr="0031221F">
        <w:rPr>
          <w:rFonts w:ascii="Simplified Arabic" w:hAnsi="Simplified Arabic" w:cs="Simplified Arabic"/>
          <w:sz w:val="20"/>
          <w:szCs w:val="20"/>
          <w:lang w:bidi="ar-IQ"/>
        </w:rPr>
        <w:t>TSH</w:t>
      </w:r>
      <w:r w:rsidRPr="0031221F">
        <w:rPr>
          <w:rFonts w:ascii="Simplified Arabic" w:hAnsi="Simplified Arabic" w:cs="Simplified Arabic"/>
          <w:sz w:val="20"/>
          <w:szCs w:val="20"/>
          <w:rtl/>
        </w:rPr>
        <w:t xml:space="preserve">  اظهر نقصان</w:t>
      </w:r>
      <w:r w:rsidRPr="0031221F">
        <w:rPr>
          <w:rFonts w:ascii="Simplified Arabic" w:hAnsi="Simplified Arabic" w:cs="Simplified Arabic"/>
          <w:sz w:val="20"/>
          <w:szCs w:val="20"/>
          <w:rtl/>
          <w:lang w:bidi="ar-IQ"/>
        </w:rPr>
        <w:t xml:space="preserve"> </w:t>
      </w:r>
      <w:r w:rsidRPr="0031221F">
        <w:rPr>
          <w:rFonts w:ascii="Simplified Arabic" w:hAnsi="Simplified Arabic" w:cs="Simplified Arabic"/>
          <w:sz w:val="20"/>
          <w:szCs w:val="20"/>
          <w:rtl/>
        </w:rPr>
        <w:t>عالية</w:t>
      </w:r>
      <w:r w:rsidRPr="0031221F">
        <w:rPr>
          <w:rFonts w:ascii="Simplified Arabic" w:hAnsi="Simplified Arabic" w:cs="Simplified Arabic"/>
          <w:sz w:val="20"/>
          <w:szCs w:val="20"/>
          <w:rtl/>
          <w:lang w:bidi="ar-IQ"/>
        </w:rPr>
        <w:t xml:space="preserve"> المعنوية </w:t>
      </w:r>
      <w:r w:rsidRPr="0031221F">
        <w:rPr>
          <w:rFonts w:ascii="Simplified Arabic" w:hAnsi="Simplified Arabic" w:cs="Simplified Arabic"/>
          <w:sz w:val="20"/>
          <w:szCs w:val="20"/>
          <w:rtl/>
        </w:rPr>
        <w:t>بالتركيز</w:t>
      </w:r>
      <w:r w:rsidRPr="0031221F">
        <w:rPr>
          <w:rFonts w:ascii="Simplified Arabic" w:hAnsi="Simplified Arabic" w:cs="Simplified Arabic"/>
          <w:sz w:val="20"/>
          <w:szCs w:val="20"/>
          <w:rtl/>
          <w:lang w:bidi="ar-IQ"/>
        </w:rPr>
        <w:t>(</w:t>
      </w:r>
      <w:r w:rsidRPr="0031221F">
        <w:rPr>
          <w:rFonts w:ascii="Simplified Arabic" w:hAnsi="Simplified Arabic" w:cs="Simplified Arabic"/>
          <w:sz w:val="20"/>
          <w:szCs w:val="20"/>
          <w:lang w:bidi="ar-IQ"/>
        </w:rPr>
        <w:t>(P&lt;0.01</w:t>
      </w:r>
      <w:r w:rsidRPr="0031221F">
        <w:rPr>
          <w:rFonts w:ascii="Simplified Arabic" w:hAnsi="Simplified Arabic" w:cs="Simplified Arabic"/>
          <w:sz w:val="20"/>
          <w:szCs w:val="20"/>
          <w:rtl/>
        </w:rPr>
        <w:t>.</w:t>
      </w:r>
    </w:p>
    <w:p w:rsidR="00B01315" w:rsidRDefault="00B01315" w:rsidP="00476EB7">
      <w:pPr>
        <w:jc w:val="both"/>
        <w:rPr>
          <w:rFonts w:cs="Simplified Arabic"/>
          <w:sz w:val="30"/>
          <w:szCs w:val="30"/>
          <w:rtl/>
          <w:lang w:bidi="ar-IQ"/>
        </w:rPr>
      </w:pPr>
      <w:r w:rsidRPr="0031221F">
        <w:rPr>
          <w:rFonts w:ascii="Simplified Arabic" w:hAnsi="Simplified Arabic" w:cs="Simplified Arabic"/>
          <w:sz w:val="20"/>
          <w:szCs w:val="20"/>
          <w:rtl/>
        </w:rPr>
        <w:t xml:space="preserve">     وجد أن نسبة 89 % من الأضداد الذاتية للمستقبلات هرمونات الغدة الدرقية موجودة في مجموعة المرض المناعي التلقائي ونسبة 24 % لمجموعة المرضى متعدد العقد السامة ونسبة 6 % لمجموعة مرضى العقدة السامة. نستنتج من ذلك يمكن استخدامه كطريقة عملية في التشخيص بين المرض المناعي التلقائي (</w:t>
      </w:r>
      <w:r w:rsidRPr="0031221F">
        <w:rPr>
          <w:rFonts w:ascii="Simplified Arabic" w:hAnsi="Simplified Arabic" w:cs="Simplified Arabic"/>
          <w:sz w:val="20"/>
          <w:szCs w:val="20"/>
        </w:rPr>
        <w:t>Graves' disease</w:t>
      </w:r>
      <w:r w:rsidRPr="0031221F">
        <w:rPr>
          <w:rFonts w:ascii="Simplified Arabic" w:hAnsi="Simplified Arabic" w:cs="Simplified Arabic"/>
          <w:sz w:val="20"/>
          <w:szCs w:val="20"/>
          <w:rtl/>
        </w:rPr>
        <w:t xml:space="preserve"> ) عن الأمراض الغير المناعيه الأخرى المتمثلة بالعقيدات السامة  </w:t>
      </w:r>
      <w:r w:rsidRPr="0031221F">
        <w:rPr>
          <w:rFonts w:ascii="Simplified Arabic" w:hAnsi="Simplified Arabic" w:cs="Simplified Arabic"/>
          <w:sz w:val="20"/>
          <w:szCs w:val="20"/>
        </w:rPr>
        <w:t xml:space="preserve"> </w:t>
      </w:r>
      <w:r w:rsidRPr="0031221F">
        <w:rPr>
          <w:rFonts w:ascii="Simplified Arabic" w:hAnsi="Simplified Arabic" w:cs="Simplified Arabic"/>
          <w:sz w:val="20"/>
          <w:szCs w:val="20"/>
          <w:rtl/>
        </w:rPr>
        <w:t>والسامة متعددة العقيدات.</w:t>
      </w:r>
      <w:r w:rsidRPr="00E66E5F">
        <w:rPr>
          <w:sz w:val="28"/>
          <w:szCs w:val="28"/>
        </w:rPr>
        <w:t xml:space="preserve"> </w:t>
      </w:r>
    </w:p>
    <w:p w:rsidR="00B01315" w:rsidRPr="0031221F" w:rsidRDefault="00B01315" w:rsidP="00B01315">
      <w:pPr>
        <w:autoSpaceDE w:val="0"/>
        <w:autoSpaceDN w:val="0"/>
        <w:adjustRightInd w:val="0"/>
        <w:jc w:val="both"/>
        <w:rPr>
          <w:rFonts w:cs="Simplified Arabic"/>
          <w:sz w:val="20"/>
          <w:szCs w:val="20"/>
          <w:rtl/>
          <w:lang w:bidi="ar-IQ"/>
        </w:rPr>
      </w:pPr>
      <w:r>
        <w:rPr>
          <w:rFonts w:cs="Simplified Arabic" w:hint="cs"/>
          <w:sz w:val="20"/>
          <w:szCs w:val="20"/>
          <w:rtl/>
          <w:lang w:bidi="ar-IQ"/>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B01315" w:rsidRDefault="00B01315" w:rsidP="00B01315">
      <w:pPr>
        <w:autoSpaceDE w:val="0"/>
        <w:autoSpaceDN w:val="0"/>
        <w:bidi w:val="0"/>
        <w:adjustRightInd w:val="0"/>
        <w:rPr>
          <w:b/>
          <w:bCs/>
          <w:u w:val="single"/>
        </w:rPr>
        <w:sectPr w:rsidR="00B01315" w:rsidSect="00DE355B">
          <w:headerReference w:type="default" r:id="rId8"/>
          <w:footerReference w:type="even" r:id="rId9"/>
          <w:footerReference w:type="default" r:id="rId10"/>
          <w:pgSz w:w="11906" w:h="16838"/>
          <w:pgMar w:top="851" w:right="1701" w:bottom="851" w:left="1701" w:header="709" w:footer="709" w:gutter="0"/>
          <w:pgNumType w:start="153"/>
          <w:cols w:space="708"/>
          <w:bidi/>
          <w:rtlGutter/>
          <w:docGrid w:linePitch="360"/>
        </w:sectPr>
      </w:pPr>
    </w:p>
    <w:p w:rsidR="00B01315" w:rsidRPr="00DE355B" w:rsidRDefault="00B01315" w:rsidP="00B01315">
      <w:pPr>
        <w:autoSpaceDE w:val="0"/>
        <w:autoSpaceDN w:val="0"/>
        <w:bidi w:val="0"/>
        <w:adjustRightInd w:val="0"/>
        <w:rPr>
          <w:u w:val="single"/>
        </w:rPr>
      </w:pPr>
      <w:r w:rsidRPr="00DE355B">
        <w:rPr>
          <w:b/>
          <w:bCs/>
          <w:u w:val="single"/>
        </w:rPr>
        <w:lastRenderedPageBreak/>
        <w:t>Introduction</w:t>
      </w:r>
    </w:p>
    <w:p w:rsidR="00B01315" w:rsidRPr="00DE355B" w:rsidRDefault="00B01315" w:rsidP="00B01315">
      <w:pPr>
        <w:keepNext/>
        <w:framePr w:dropCap="drop" w:lines="3" w:wrap="around" w:vAnchor="text" w:hAnchor="text"/>
        <w:bidi w:val="0"/>
        <w:spacing w:line="827" w:lineRule="exact"/>
        <w:jc w:val="lowKashida"/>
        <w:textAlignment w:val="baseline"/>
        <w:rPr>
          <w:position w:val="-11"/>
          <w:sz w:val="112"/>
          <w:szCs w:val="112"/>
        </w:rPr>
      </w:pPr>
      <w:r w:rsidRPr="00DE355B">
        <w:rPr>
          <w:position w:val="-11"/>
          <w:sz w:val="112"/>
          <w:szCs w:val="112"/>
        </w:rPr>
        <w:t>T</w:t>
      </w:r>
    </w:p>
    <w:p w:rsidR="00B01315" w:rsidRPr="00DE355B" w:rsidRDefault="00B01315" w:rsidP="00B01315">
      <w:pPr>
        <w:autoSpaceDE w:val="0"/>
        <w:autoSpaceDN w:val="0"/>
        <w:bidi w:val="0"/>
        <w:adjustRightInd w:val="0"/>
        <w:jc w:val="lowKashida"/>
        <w:rPr>
          <w:rStyle w:val="A4"/>
          <w:b w:val="0"/>
          <w:bCs w:val="0"/>
          <w:sz w:val="24"/>
          <w:szCs w:val="24"/>
        </w:rPr>
      </w:pPr>
      <w:r w:rsidRPr="00DE355B">
        <w:t xml:space="preserve">hyrotoxicosis represents the clinical syndrome that results from exposure to elevated levels of circulating thyroid hormones. Hyperthyroidism is used to describe thyrotoxicosis resulting from </w:t>
      </w:r>
      <w:r w:rsidRPr="00DE355B">
        <w:lastRenderedPageBreak/>
        <w:t xml:space="preserve">overproduction of TH by </w:t>
      </w:r>
      <w:proofErr w:type="spellStart"/>
      <w:r w:rsidRPr="00DE355B">
        <w:t>thyrocytes</w:t>
      </w:r>
      <w:proofErr w:type="spellEnd"/>
      <w:r w:rsidRPr="00DE355B">
        <w:t xml:space="preserve">, with GD the commonest cause </w:t>
      </w:r>
      <w:r w:rsidRPr="00DE355B">
        <w:rPr>
          <w:rStyle w:val="A4"/>
          <w:b w:val="0"/>
          <w:bCs w:val="0"/>
          <w:sz w:val="24"/>
          <w:szCs w:val="24"/>
        </w:rPr>
        <w:t xml:space="preserve">[1]. </w:t>
      </w:r>
    </w:p>
    <w:p w:rsidR="00B01315" w:rsidRPr="00DE355B" w:rsidRDefault="00B01315" w:rsidP="00B01315">
      <w:pPr>
        <w:bidi w:val="0"/>
        <w:ind w:firstLine="567"/>
        <w:jc w:val="lowKashida"/>
        <w:rPr>
          <w:rStyle w:val="A4"/>
          <w:b w:val="0"/>
          <w:bCs w:val="0"/>
          <w:sz w:val="24"/>
          <w:szCs w:val="24"/>
        </w:rPr>
      </w:pPr>
      <w:r w:rsidRPr="00DE355B">
        <w:rPr>
          <w:rStyle w:val="A4"/>
          <w:b w:val="0"/>
          <w:bCs w:val="0"/>
          <w:sz w:val="24"/>
          <w:szCs w:val="24"/>
        </w:rPr>
        <w:t xml:space="preserve">  This disorder had also been found to affect women five times more than men [2].There are several causes of hyperthyroidism one of which an autoimmune disorder, its etiology involves the production an antibodies </w:t>
      </w:r>
      <w:r w:rsidRPr="00DE355B">
        <w:rPr>
          <w:rStyle w:val="A4"/>
          <w:b w:val="0"/>
          <w:bCs w:val="0"/>
          <w:sz w:val="24"/>
          <w:szCs w:val="24"/>
        </w:rPr>
        <w:lastRenderedPageBreak/>
        <w:t>against the thyroid stimulating hormone (TSH) receptors, TSHR that result in excess production of T3 and T4</w:t>
      </w:r>
      <w:r w:rsidRPr="00DE355B">
        <w:rPr>
          <w:rStyle w:val="A4"/>
          <w:b w:val="0"/>
          <w:bCs w:val="0"/>
          <w:sz w:val="24"/>
          <w:szCs w:val="24"/>
          <w:vertAlign w:val="superscript"/>
        </w:rPr>
        <w:t xml:space="preserve"> </w:t>
      </w:r>
      <w:r w:rsidRPr="00DE355B">
        <w:rPr>
          <w:rStyle w:val="A4"/>
          <w:b w:val="0"/>
          <w:bCs w:val="0"/>
          <w:sz w:val="24"/>
          <w:szCs w:val="24"/>
        </w:rPr>
        <w:t>[3].</w:t>
      </w:r>
    </w:p>
    <w:p w:rsidR="00B01315" w:rsidRPr="00DE355B" w:rsidRDefault="00B01315" w:rsidP="00B01315">
      <w:pPr>
        <w:bidi w:val="0"/>
        <w:ind w:firstLine="567"/>
        <w:jc w:val="lowKashida"/>
        <w:rPr>
          <w:rStyle w:val="A4"/>
          <w:b w:val="0"/>
          <w:bCs w:val="0"/>
          <w:sz w:val="24"/>
          <w:szCs w:val="24"/>
        </w:rPr>
      </w:pPr>
      <w:r w:rsidRPr="00DE355B">
        <w:rPr>
          <w:rStyle w:val="A4"/>
          <w:b w:val="0"/>
          <w:bCs w:val="0"/>
          <w:sz w:val="24"/>
          <w:szCs w:val="24"/>
        </w:rPr>
        <w:t xml:space="preserve">  Moreover, high level of TH can also result from autonomous production by solitary or multiple thyroid nodules, which secret thyroid hormones autonomously. In addition, excessive TSH secretion by pituitary tumors resulted in higher stimulation to thyroid gland [4].</w:t>
      </w:r>
    </w:p>
    <w:p w:rsidR="00B01315" w:rsidRPr="00DE355B" w:rsidRDefault="00B01315" w:rsidP="00B01315">
      <w:pPr>
        <w:bidi w:val="0"/>
        <w:ind w:firstLine="567"/>
        <w:jc w:val="lowKashida"/>
        <w:rPr>
          <w:rStyle w:val="A4"/>
          <w:b w:val="0"/>
          <w:bCs w:val="0"/>
          <w:sz w:val="24"/>
          <w:szCs w:val="24"/>
        </w:rPr>
      </w:pPr>
      <w:r w:rsidRPr="00DE355B">
        <w:rPr>
          <w:rStyle w:val="A4"/>
          <w:b w:val="0"/>
          <w:bCs w:val="0"/>
          <w:sz w:val="24"/>
          <w:szCs w:val="24"/>
        </w:rPr>
        <w:t>The overproduction of human chorionic-gonadotropin hormone (HCG) during pregnancy competes with TSH in binding with TSHR [5].</w:t>
      </w:r>
    </w:p>
    <w:p w:rsidR="00B01315" w:rsidRPr="00DE355B" w:rsidRDefault="00B01315" w:rsidP="00B01315">
      <w:pPr>
        <w:bidi w:val="0"/>
        <w:ind w:firstLine="567"/>
        <w:jc w:val="lowKashida"/>
        <w:rPr>
          <w:rFonts w:cs="Times"/>
          <w:color w:val="000000"/>
        </w:rPr>
      </w:pPr>
      <w:r w:rsidRPr="00DE355B">
        <w:rPr>
          <w:rStyle w:val="A4"/>
          <w:b w:val="0"/>
          <w:bCs w:val="0"/>
          <w:sz w:val="24"/>
          <w:szCs w:val="24"/>
        </w:rPr>
        <w:t xml:space="preserve">Thyroiditis, an inflammatory state of thyroid gland also resulted in libation of stored hormones (T3 and T4) into blood circulation [6]. Finally, the other miscellaneous causes represent a little incidence in hyperthyroidism such as metastatic thyroid carcinoma, and </w:t>
      </w:r>
      <w:proofErr w:type="spellStart"/>
      <w:r w:rsidRPr="00DE355B">
        <w:rPr>
          <w:rStyle w:val="A4"/>
          <w:b w:val="0"/>
          <w:bCs w:val="0"/>
          <w:sz w:val="24"/>
          <w:szCs w:val="24"/>
        </w:rPr>
        <w:t>struma</w:t>
      </w:r>
      <w:proofErr w:type="spellEnd"/>
      <w:r w:rsidRPr="00DE355B">
        <w:rPr>
          <w:rStyle w:val="A4"/>
          <w:b w:val="0"/>
          <w:bCs w:val="0"/>
          <w:sz w:val="24"/>
          <w:szCs w:val="24"/>
        </w:rPr>
        <w:t xml:space="preserve"> </w:t>
      </w:r>
      <w:proofErr w:type="spellStart"/>
      <w:r w:rsidRPr="00DE355B">
        <w:rPr>
          <w:rStyle w:val="A4"/>
          <w:b w:val="0"/>
          <w:bCs w:val="0"/>
          <w:sz w:val="24"/>
          <w:szCs w:val="24"/>
        </w:rPr>
        <w:t>ovarri</w:t>
      </w:r>
      <w:proofErr w:type="spellEnd"/>
      <w:r w:rsidRPr="00DE355B">
        <w:rPr>
          <w:rStyle w:val="A4"/>
          <w:b w:val="0"/>
          <w:bCs w:val="0"/>
          <w:sz w:val="24"/>
          <w:szCs w:val="24"/>
        </w:rPr>
        <w:t xml:space="preserve"> [7]</w:t>
      </w:r>
      <w:r w:rsidRPr="00DE355B">
        <w:rPr>
          <w:rFonts w:cs="Times"/>
          <w:color w:val="000000"/>
        </w:rPr>
        <w:t>.</w:t>
      </w:r>
      <w:r w:rsidRPr="00DE355B">
        <w:rPr>
          <w:lang w:bidi="ar-IQ"/>
        </w:rPr>
        <w:t>Thyrotoxicosis is retained because hyperthyroidism i.e. symptoms due to a raised level of circulating thyroid hormone, is not responsible for all manifestations of the disease. Clinical types are [8]:</w:t>
      </w:r>
    </w:p>
    <w:p w:rsidR="00B01315" w:rsidRPr="00DE355B" w:rsidRDefault="00B01315" w:rsidP="00B01315">
      <w:pPr>
        <w:bidi w:val="0"/>
        <w:ind w:firstLine="567"/>
        <w:jc w:val="lowKashida"/>
        <w:rPr>
          <w:lang w:bidi="ar-IQ"/>
        </w:rPr>
      </w:pPr>
      <w:r w:rsidRPr="00DE355B">
        <w:rPr>
          <w:lang w:bidi="ar-IQ"/>
        </w:rPr>
        <w:t>Diffuse toxic goiter (CD),toxic nodular goiter, toxic nodule  and Hyperthyroidism due to rarer causes.</w:t>
      </w:r>
    </w:p>
    <w:p w:rsidR="00B01315" w:rsidRPr="00DE355B" w:rsidRDefault="00B01315" w:rsidP="00B01315">
      <w:pPr>
        <w:autoSpaceDE w:val="0"/>
        <w:autoSpaceDN w:val="0"/>
        <w:bidi w:val="0"/>
        <w:adjustRightInd w:val="0"/>
        <w:ind w:firstLine="567"/>
        <w:jc w:val="lowKashida"/>
      </w:pPr>
      <w:r w:rsidRPr="00DE355B">
        <w:t>The signs of hyperthyroidism include: muscle weakness especially upper arms and thighs, shaking hands, speeding up of heartbeat from a normal rate of 70 or 80 to well over 100 beats per minute, and diarrhea exists</w:t>
      </w:r>
      <w:r w:rsidRPr="00DE355B">
        <w:rPr>
          <w:vertAlign w:val="superscript"/>
        </w:rPr>
        <w:t xml:space="preserve"> </w:t>
      </w:r>
      <w:r>
        <w:t>[9]</w:t>
      </w:r>
      <w:r w:rsidRPr="00DE355B">
        <w:t>.</w:t>
      </w:r>
    </w:p>
    <w:p w:rsidR="00B01315" w:rsidRPr="00DE355B" w:rsidRDefault="00B01315" w:rsidP="00B01315">
      <w:pPr>
        <w:autoSpaceDE w:val="0"/>
        <w:autoSpaceDN w:val="0"/>
        <w:bidi w:val="0"/>
        <w:adjustRightInd w:val="0"/>
        <w:ind w:firstLine="567"/>
        <w:jc w:val="lowKashida"/>
      </w:pPr>
      <w:r w:rsidRPr="00DE355B">
        <w:t xml:space="preserve">GD is unique among autoimmune conditions in that the immune response, rather than being progressively destroyed by it stimulate the target tissue. This, coupled with the early identification of circulating thyroid-stimulating autoantibodies as the immunological hallmark of the condition, has led to Graves’ disease acting as a paradigm for research into autoimmune </w:t>
      </w:r>
      <w:proofErr w:type="spellStart"/>
      <w:r w:rsidRPr="00DE355B">
        <w:t>endocrinopathies</w:t>
      </w:r>
      <w:proofErr w:type="spellEnd"/>
      <w:r w:rsidRPr="00DE355B">
        <w:t xml:space="preserve"> [10].</w:t>
      </w:r>
    </w:p>
    <w:p w:rsidR="00B01315" w:rsidRPr="00DE355B" w:rsidRDefault="00B01315" w:rsidP="00B01315">
      <w:pPr>
        <w:autoSpaceDE w:val="0"/>
        <w:autoSpaceDN w:val="0"/>
        <w:bidi w:val="0"/>
        <w:adjustRightInd w:val="0"/>
        <w:ind w:firstLine="567"/>
        <w:jc w:val="lowKashida"/>
        <w:rPr>
          <w:rFonts w:ascii="intirr" w:cs="intirr"/>
        </w:rPr>
      </w:pPr>
      <w:r w:rsidRPr="00DE355B">
        <w:t xml:space="preserve">GD patients have been shown to different clones of TSHR autoantibodies directed at different locations of the TSHR [11]. The actions of the different </w:t>
      </w:r>
      <w:proofErr w:type="spellStart"/>
      <w:r w:rsidRPr="00DE355B">
        <w:lastRenderedPageBreak/>
        <w:t>TRAbs</w:t>
      </w:r>
      <w:proofErr w:type="spellEnd"/>
      <w:r w:rsidRPr="00DE355B">
        <w:t xml:space="preserve"> are thought to vary due to the different binding sites. Consequently there are different types of </w:t>
      </w:r>
      <w:proofErr w:type="spellStart"/>
      <w:r w:rsidRPr="00DE355B">
        <w:t>TRAbs</w:t>
      </w:r>
      <w:proofErr w:type="spellEnd"/>
      <w:r w:rsidRPr="00DE355B">
        <w:t>: stimulating, blocking and neutral [12].</w:t>
      </w:r>
    </w:p>
    <w:p w:rsidR="00B01315" w:rsidRPr="00DE355B" w:rsidRDefault="00B01315" w:rsidP="00B01315">
      <w:pPr>
        <w:autoSpaceDE w:val="0"/>
        <w:autoSpaceDN w:val="0"/>
        <w:bidi w:val="0"/>
        <w:adjustRightInd w:val="0"/>
        <w:jc w:val="lowKashida"/>
      </w:pPr>
      <w:r w:rsidRPr="00DE355B">
        <w:t xml:space="preserve">In the case of GD, the patient’s immune system is triggered to produce antibodies towards their own thyroid. </w:t>
      </w:r>
      <w:proofErr w:type="spellStart"/>
      <w:r w:rsidRPr="00DE355B">
        <w:t>TSAb</w:t>
      </w:r>
      <w:proofErr w:type="spellEnd"/>
      <w:r w:rsidRPr="00DE355B">
        <w:t xml:space="preserve"> is one of the functional autoantibodies directed against TSHR [13].</w:t>
      </w:r>
    </w:p>
    <w:p w:rsidR="00B01315" w:rsidRPr="00DE355B" w:rsidRDefault="00B01315" w:rsidP="00B01315">
      <w:pPr>
        <w:bidi w:val="0"/>
        <w:ind w:firstLine="567"/>
        <w:jc w:val="lowKashida"/>
        <w:rPr>
          <w:rStyle w:val="A4"/>
          <w:rFonts w:cs="Times New Roman"/>
          <w:b w:val="0"/>
          <w:bCs w:val="0"/>
          <w:color w:val="auto"/>
          <w:sz w:val="24"/>
          <w:szCs w:val="24"/>
          <w:lang w:bidi="ar-IQ"/>
        </w:rPr>
      </w:pPr>
      <w:r w:rsidRPr="00DE355B">
        <w:t xml:space="preserve">TSH receptor antibodies are useful in the following clinical </w:t>
      </w:r>
      <w:proofErr w:type="spellStart"/>
      <w:r w:rsidRPr="00DE355B">
        <w:t>conditions</w:t>
      </w:r>
      <w:r w:rsidRPr="00DE355B">
        <w:rPr>
          <w:lang w:bidi="ar-IQ"/>
        </w:rPr>
        <w:t>.Diagnosis</w:t>
      </w:r>
      <w:proofErr w:type="spellEnd"/>
      <w:r w:rsidRPr="00DE355B">
        <w:rPr>
          <w:lang w:bidi="ar-IQ"/>
        </w:rPr>
        <w:t xml:space="preserve"> of </w:t>
      </w:r>
      <w:proofErr w:type="spellStart"/>
      <w:r w:rsidRPr="00DE355B">
        <w:rPr>
          <w:lang w:bidi="ar-IQ"/>
        </w:rPr>
        <w:t>euthyroid</w:t>
      </w:r>
      <w:proofErr w:type="spellEnd"/>
      <w:r w:rsidRPr="00DE355B">
        <w:rPr>
          <w:lang w:bidi="ar-IQ"/>
        </w:rPr>
        <w:t xml:space="preserve"> Graves. Prediction of relapse during </w:t>
      </w:r>
      <w:proofErr w:type="spellStart"/>
      <w:r w:rsidRPr="00DE355B">
        <w:rPr>
          <w:lang w:bidi="ar-IQ"/>
        </w:rPr>
        <w:t>antithyroid</w:t>
      </w:r>
      <w:proofErr w:type="spellEnd"/>
      <w:r w:rsidRPr="00DE355B">
        <w:rPr>
          <w:lang w:bidi="ar-IQ"/>
        </w:rPr>
        <w:t xml:space="preserve"> drug therapy in Graves .Prediction of transient neonatal hypothyroidism in mothers with blocking receptor antibodies or neonatal hyperthyroidism due to stimulating receptor antibodies[14].</w:t>
      </w:r>
    </w:p>
    <w:p w:rsidR="00B01315" w:rsidRPr="00DE355B" w:rsidRDefault="00B01315" w:rsidP="00B01315">
      <w:pPr>
        <w:autoSpaceDE w:val="0"/>
        <w:autoSpaceDN w:val="0"/>
        <w:bidi w:val="0"/>
        <w:adjustRightInd w:val="0"/>
        <w:ind w:firstLine="567"/>
        <w:jc w:val="lowKashida"/>
      </w:pPr>
      <w:r w:rsidRPr="00DE355B">
        <w:t xml:space="preserve">A simple nodular </w:t>
      </w:r>
      <w:proofErr w:type="spellStart"/>
      <w:r w:rsidRPr="00DE355B">
        <w:t>goitre</w:t>
      </w:r>
      <w:proofErr w:type="spellEnd"/>
      <w:r w:rsidRPr="00DE355B">
        <w:t xml:space="preserve"> is present for a long time before the </w:t>
      </w:r>
      <w:proofErr w:type="spellStart"/>
      <w:r w:rsidRPr="00DE355B">
        <w:t>hyperthoidism</w:t>
      </w:r>
      <w:proofErr w:type="spellEnd"/>
      <w:r w:rsidRPr="00DE355B">
        <w:t xml:space="preserve"> [8] .The most common cause of hyperthyroidism in those older than 40 years</w:t>
      </w:r>
      <w:r w:rsidRPr="00DE355B">
        <w:rPr>
          <w:vertAlign w:val="superscript"/>
        </w:rPr>
        <w:t xml:space="preserve"> </w:t>
      </w:r>
      <w:r w:rsidRPr="00DE355B">
        <w:t>[15], and is very infrequently associated with eye signs. The syndrome is that of secondary thyrotoxicosis.</w:t>
      </w:r>
    </w:p>
    <w:p w:rsidR="00B01315" w:rsidRDefault="00B01315" w:rsidP="00B01315">
      <w:pPr>
        <w:autoSpaceDE w:val="0"/>
        <w:autoSpaceDN w:val="0"/>
        <w:bidi w:val="0"/>
        <w:adjustRightInd w:val="0"/>
        <w:jc w:val="both"/>
        <w:rPr>
          <w:b/>
          <w:bCs/>
        </w:rPr>
      </w:pPr>
    </w:p>
    <w:p w:rsidR="00B01315" w:rsidRPr="00DE355B" w:rsidRDefault="00B01315" w:rsidP="00B01315">
      <w:pPr>
        <w:autoSpaceDE w:val="0"/>
        <w:autoSpaceDN w:val="0"/>
        <w:bidi w:val="0"/>
        <w:adjustRightInd w:val="0"/>
        <w:jc w:val="both"/>
        <w:rPr>
          <w:b/>
          <w:bCs/>
          <w:u w:val="single"/>
        </w:rPr>
      </w:pPr>
      <w:r w:rsidRPr="00DE355B">
        <w:rPr>
          <w:b/>
          <w:bCs/>
          <w:u w:val="single"/>
        </w:rPr>
        <w:t>Patients and Methods</w:t>
      </w:r>
    </w:p>
    <w:p w:rsidR="00B01315" w:rsidRPr="00DE355B" w:rsidRDefault="00B01315" w:rsidP="00B01315">
      <w:pPr>
        <w:autoSpaceDE w:val="0"/>
        <w:autoSpaceDN w:val="0"/>
        <w:bidi w:val="0"/>
        <w:adjustRightInd w:val="0"/>
        <w:rPr>
          <w:b/>
          <w:bCs/>
        </w:rPr>
      </w:pPr>
      <w:r w:rsidRPr="00DE355B">
        <w:rPr>
          <w:b/>
          <w:bCs/>
        </w:rPr>
        <w:t>Patients</w:t>
      </w:r>
    </w:p>
    <w:p w:rsidR="00B01315" w:rsidRPr="00DE355B" w:rsidRDefault="00B01315" w:rsidP="00B01315">
      <w:pPr>
        <w:autoSpaceDE w:val="0"/>
        <w:autoSpaceDN w:val="0"/>
        <w:bidi w:val="0"/>
        <w:adjustRightInd w:val="0"/>
        <w:jc w:val="both"/>
        <w:rPr>
          <w:b/>
          <w:bCs/>
        </w:rPr>
      </w:pPr>
      <w:r w:rsidRPr="00DE355B">
        <w:rPr>
          <w:color w:val="000000"/>
        </w:rPr>
        <w:t xml:space="preserve">        This study was performed at the laboratory of Biochemistry Department, College of  Medicine, University of Babylon. The collection of samples was conducted during the period from 1 December 2011 until 30 June 2012 in </w:t>
      </w:r>
      <w:proofErr w:type="spellStart"/>
      <w:r w:rsidRPr="00DE355B">
        <w:rPr>
          <w:rFonts w:cs="Simplified Arabic"/>
        </w:rPr>
        <w:t>Hilla</w:t>
      </w:r>
      <w:proofErr w:type="spellEnd"/>
      <w:r w:rsidRPr="00DE355B">
        <w:rPr>
          <w:rFonts w:cs="Simplified Arabic"/>
        </w:rPr>
        <w:t xml:space="preserve"> Teaching Hospital</w:t>
      </w:r>
      <w:r w:rsidRPr="00DE355B">
        <w:rPr>
          <w:color w:val="000000"/>
        </w:rPr>
        <w:t>.</w:t>
      </w:r>
    </w:p>
    <w:p w:rsidR="00B01315" w:rsidRPr="00DE355B" w:rsidRDefault="00B01315" w:rsidP="00B01315">
      <w:pPr>
        <w:autoSpaceDE w:val="0"/>
        <w:autoSpaceDN w:val="0"/>
        <w:bidi w:val="0"/>
        <w:adjustRightInd w:val="0"/>
        <w:jc w:val="both"/>
      </w:pPr>
      <w:r w:rsidRPr="00DE355B">
        <w:rPr>
          <w:color w:val="000000"/>
        </w:rPr>
        <w:t xml:space="preserve">        The patients group who subjected in this study was (65) persons ranging from 15-61 years old, the mean ± standard deviation (SD) was (38.63 ± 10.03 years). This group comprises 13 males (20.00%), their ages ranging from 15-52</w:t>
      </w:r>
      <w:r w:rsidR="008D0D4F">
        <w:rPr>
          <w:color w:val="000000"/>
        </w:rPr>
        <w:t xml:space="preserve"> years old, the mean ± SD was (</w:t>
      </w:r>
      <w:r w:rsidRPr="00DE355B">
        <w:rPr>
          <w:color w:val="000000"/>
        </w:rPr>
        <w:t>36.46 ± 10.40 years) , and 52 females (80.00%) with ages ranging  from 20-61 years old, and mean  ± SD was (39.17 ± 9.96 years).</w:t>
      </w:r>
      <w:r w:rsidRPr="00DE355B">
        <w:rPr>
          <w:rFonts w:cs="Simplified Arabic"/>
        </w:rPr>
        <w:t xml:space="preserve"> All of those patients were subjected to the surgeon in hospital and recorded clinical</w:t>
      </w:r>
      <w:r w:rsidRPr="00DE355B">
        <w:rPr>
          <w:bCs/>
          <w:color w:val="000000"/>
        </w:rPr>
        <w:t xml:space="preserve"> symptoms and signs of </w:t>
      </w:r>
      <w:r w:rsidRPr="00DE355B">
        <w:rPr>
          <w:bCs/>
          <w:color w:val="000000"/>
        </w:rPr>
        <w:lastRenderedPageBreak/>
        <w:t>these patients were diagnosed in the laboratory.</w:t>
      </w:r>
    </w:p>
    <w:p w:rsidR="00B01315" w:rsidRPr="00DE355B" w:rsidRDefault="00B01315" w:rsidP="00B01315">
      <w:pPr>
        <w:autoSpaceDE w:val="0"/>
        <w:autoSpaceDN w:val="0"/>
        <w:bidi w:val="0"/>
        <w:adjustRightInd w:val="0"/>
        <w:jc w:val="both"/>
        <w:rPr>
          <w:color w:val="000000"/>
        </w:rPr>
      </w:pPr>
      <w:r w:rsidRPr="00DE355B">
        <w:rPr>
          <w:color w:val="000000"/>
        </w:rPr>
        <w:t xml:space="preserve">        Twenty-five apparently healthy individuals were taken as a control group. This group comprises of 6 males (24.00%) their age ranging from 19-62 years old, mean ± SD was (43.33±15.76 years), and 19 females (76.00%) their age ranging from 21-57years old,  mean ± SD was (37.31 ± 8.36 years).</w:t>
      </w:r>
    </w:p>
    <w:p w:rsidR="00B01315" w:rsidRPr="00DE355B" w:rsidRDefault="00B01315" w:rsidP="00B01315">
      <w:pPr>
        <w:bidi w:val="0"/>
        <w:ind w:firstLine="567"/>
        <w:jc w:val="lowKashida"/>
      </w:pPr>
      <w:r w:rsidRPr="00DE355B">
        <w:t>The present study, patients with hyperthyroidism was divided into three groups</w:t>
      </w:r>
      <w:r w:rsidRPr="00DE355B">
        <w:rPr>
          <w:bCs/>
        </w:rPr>
        <w:t xml:space="preserve"> according to </w:t>
      </w:r>
      <w:proofErr w:type="spellStart"/>
      <w:r w:rsidRPr="00DE355B">
        <w:rPr>
          <w:b/>
          <w:i/>
          <w:iCs/>
          <w:color w:val="000000"/>
        </w:rPr>
        <w:t>UlS</w:t>
      </w:r>
      <w:proofErr w:type="spellEnd"/>
      <w:r w:rsidRPr="00DE355B">
        <w:rPr>
          <w:bCs/>
          <w:color w:val="000000"/>
        </w:rPr>
        <w:t xml:space="preserve"> techniques</w:t>
      </w:r>
      <w:r w:rsidRPr="00DE355B">
        <w:t>:</w:t>
      </w:r>
    </w:p>
    <w:p w:rsidR="00B01315" w:rsidRPr="00DE355B" w:rsidRDefault="00B01315" w:rsidP="00B01315">
      <w:pPr>
        <w:numPr>
          <w:ilvl w:val="0"/>
          <w:numId w:val="1"/>
        </w:numPr>
        <w:tabs>
          <w:tab w:val="clear" w:pos="720"/>
          <w:tab w:val="num" w:pos="284"/>
        </w:tabs>
        <w:bidi w:val="0"/>
        <w:ind w:left="0" w:firstLine="0"/>
        <w:jc w:val="lowKashida"/>
      </w:pPr>
      <w:r w:rsidRPr="00DE355B">
        <w:rPr>
          <w:bCs/>
        </w:rPr>
        <w:t xml:space="preserve">Diffuse </w:t>
      </w:r>
      <w:proofErr w:type="spellStart"/>
      <w:r w:rsidRPr="00DE355B">
        <w:rPr>
          <w:bCs/>
        </w:rPr>
        <w:t>goitre</w:t>
      </w:r>
      <w:proofErr w:type="spellEnd"/>
      <w:r w:rsidRPr="00DE355B">
        <w:rPr>
          <w:bCs/>
        </w:rPr>
        <w:t xml:space="preserve"> group: these patients showed diffuse with no echogenicity in 27 patients.</w:t>
      </w:r>
    </w:p>
    <w:p w:rsidR="00B01315" w:rsidRPr="00DE355B" w:rsidRDefault="00B01315" w:rsidP="00B01315">
      <w:pPr>
        <w:numPr>
          <w:ilvl w:val="0"/>
          <w:numId w:val="1"/>
        </w:numPr>
        <w:tabs>
          <w:tab w:val="clear" w:pos="720"/>
          <w:tab w:val="num" w:pos="284"/>
        </w:tabs>
        <w:bidi w:val="0"/>
        <w:ind w:left="0" w:firstLine="0"/>
        <w:jc w:val="lowKashida"/>
        <w:rPr>
          <w:bCs/>
        </w:rPr>
      </w:pPr>
      <w:r w:rsidRPr="00DE355B">
        <w:rPr>
          <w:bCs/>
        </w:rPr>
        <w:t>Toxic nodule group: These patients showed single small low echogenicity in 17 patients.</w:t>
      </w:r>
    </w:p>
    <w:p w:rsidR="00B01315" w:rsidRPr="00DE355B" w:rsidRDefault="00B01315" w:rsidP="00B01315">
      <w:pPr>
        <w:numPr>
          <w:ilvl w:val="0"/>
          <w:numId w:val="1"/>
        </w:numPr>
        <w:tabs>
          <w:tab w:val="clear" w:pos="720"/>
          <w:tab w:val="num" w:pos="284"/>
        </w:tabs>
        <w:bidi w:val="0"/>
        <w:ind w:left="0" w:firstLine="0"/>
        <w:jc w:val="lowKashida"/>
        <w:rPr>
          <w:bCs/>
        </w:rPr>
      </w:pPr>
      <w:r w:rsidRPr="00DE355B">
        <w:rPr>
          <w:bCs/>
        </w:rPr>
        <w:t xml:space="preserve">Toxic nodular </w:t>
      </w:r>
      <w:proofErr w:type="spellStart"/>
      <w:r w:rsidRPr="00DE355B">
        <w:rPr>
          <w:bCs/>
        </w:rPr>
        <w:t>goitre</w:t>
      </w:r>
      <w:proofErr w:type="spellEnd"/>
      <w:r w:rsidRPr="00DE355B">
        <w:rPr>
          <w:bCs/>
        </w:rPr>
        <w:t xml:space="preserve"> group: These patients showed multiple small low echogenicity in 21 patients. </w:t>
      </w:r>
    </w:p>
    <w:p w:rsidR="00B01315" w:rsidRPr="00DE355B" w:rsidRDefault="00B01315" w:rsidP="00B01315">
      <w:pPr>
        <w:bidi w:val="0"/>
        <w:ind w:firstLine="567"/>
        <w:jc w:val="lowKashida"/>
        <w:rPr>
          <w:rFonts w:cs="Simplified Arabic"/>
        </w:rPr>
      </w:pPr>
      <w:proofErr w:type="spellStart"/>
      <w:r w:rsidRPr="00DE355B">
        <w:rPr>
          <w:rFonts w:cs="Simplified Arabic"/>
          <w:b/>
          <w:bCs/>
          <w:i/>
          <w:iCs/>
        </w:rPr>
        <w:lastRenderedPageBreak/>
        <w:t>UlS</w:t>
      </w:r>
      <w:proofErr w:type="spellEnd"/>
      <w:r w:rsidRPr="00DE355B">
        <w:rPr>
          <w:rFonts w:cs="Simplified Arabic"/>
        </w:rPr>
        <w:t xml:space="preserve"> technique is useful in distinguish between diffuse group from two other groups. The study of Pederson and </w:t>
      </w:r>
      <w:proofErr w:type="spellStart"/>
      <w:r w:rsidRPr="00DE355B">
        <w:rPr>
          <w:rFonts w:cs="Simplified Arabic"/>
        </w:rPr>
        <w:t>Aardal</w:t>
      </w:r>
      <w:proofErr w:type="spellEnd"/>
      <w:r w:rsidRPr="00DE355B">
        <w:rPr>
          <w:rFonts w:cs="Simplified Arabic"/>
        </w:rPr>
        <w:t xml:space="preserve"> [16] explains that there is 70% of patient with GD exhibit low echogenicity in </w:t>
      </w:r>
      <w:proofErr w:type="spellStart"/>
      <w:r w:rsidRPr="00DE355B">
        <w:rPr>
          <w:rFonts w:cs="Simplified Arabic"/>
          <w:b/>
          <w:bCs/>
          <w:i/>
          <w:iCs/>
        </w:rPr>
        <w:t>UlS</w:t>
      </w:r>
      <w:proofErr w:type="spellEnd"/>
      <w:r w:rsidRPr="00DE355B">
        <w:rPr>
          <w:rFonts w:cs="Simplified Arabic"/>
        </w:rPr>
        <w:t xml:space="preserve">. In our study 27 patient show diffuse and 38 patient show nodular </w:t>
      </w:r>
      <w:proofErr w:type="spellStart"/>
      <w:r w:rsidRPr="00DE355B">
        <w:rPr>
          <w:rFonts w:cs="Simplified Arabic"/>
        </w:rPr>
        <w:t>goitre</w:t>
      </w:r>
      <w:proofErr w:type="spellEnd"/>
      <w:r w:rsidRPr="00DE355B">
        <w:rPr>
          <w:rFonts w:cs="Simplified Arabic"/>
        </w:rPr>
        <w:t xml:space="preserve">. </w:t>
      </w:r>
    </w:p>
    <w:p w:rsidR="00B01315" w:rsidRPr="00DE355B" w:rsidRDefault="00B01315" w:rsidP="00B01315">
      <w:pPr>
        <w:autoSpaceDE w:val="0"/>
        <w:autoSpaceDN w:val="0"/>
        <w:bidi w:val="0"/>
        <w:adjustRightInd w:val="0"/>
        <w:jc w:val="lowKashida"/>
        <w:rPr>
          <w:b/>
          <w:bCs/>
          <w:color w:val="000000"/>
        </w:rPr>
      </w:pPr>
      <w:r w:rsidRPr="00DE355B">
        <w:rPr>
          <w:b/>
          <w:bCs/>
          <w:color w:val="000000"/>
        </w:rPr>
        <w:t>Method</w:t>
      </w:r>
    </w:p>
    <w:p w:rsidR="00B01315" w:rsidRPr="00DE355B" w:rsidRDefault="00B01315" w:rsidP="00B01315">
      <w:pPr>
        <w:autoSpaceDE w:val="0"/>
        <w:autoSpaceDN w:val="0"/>
        <w:bidi w:val="0"/>
        <w:adjustRightInd w:val="0"/>
        <w:ind w:firstLine="567"/>
        <w:jc w:val="lowKashida"/>
        <w:rPr>
          <w:b/>
          <w:bCs/>
          <w:color w:val="000000"/>
        </w:rPr>
      </w:pPr>
      <w:proofErr w:type="spellStart"/>
      <w:r w:rsidRPr="00DE355B">
        <w:t>TRAb</w:t>
      </w:r>
      <w:proofErr w:type="spellEnd"/>
      <w:r w:rsidRPr="00DE355B">
        <w:rPr>
          <w:b/>
          <w:bCs/>
        </w:rPr>
        <w:t xml:space="preserve"> </w:t>
      </w:r>
      <w:r w:rsidRPr="00DE355B">
        <w:t>was measured by using Enzyme Immunoassay method (ELISA).</w:t>
      </w:r>
      <w:r w:rsidRPr="00DE355B">
        <w:rPr>
          <w:bCs/>
        </w:rPr>
        <w:t xml:space="preserve"> All statistical analyses were performed by using SPSS 15 software for Windows.</w:t>
      </w:r>
      <w:r w:rsidRPr="00DE355B">
        <w:rPr>
          <w:b/>
          <w:bCs/>
          <w:color w:val="000000"/>
        </w:rPr>
        <w:t xml:space="preserve"> </w:t>
      </w:r>
    </w:p>
    <w:p w:rsidR="00B01315" w:rsidRDefault="00B01315" w:rsidP="00B01315">
      <w:pPr>
        <w:tabs>
          <w:tab w:val="left" w:pos="1830"/>
        </w:tabs>
        <w:bidi w:val="0"/>
        <w:rPr>
          <w:b/>
          <w:bCs/>
        </w:rPr>
      </w:pPr>
    </w:p>
    <w:p w:rsidR="00B01315" w:rsidRPr="00DE355B" w:rsidRDefault="00B01315" w:rsidP="00B01315">
      <w:pPr>
        <w:tabs>
          <w:tab w:val="left" w:pos="1830"/>
        </w:tabs>
        <w:bidi w:val="0"/>
        <w:rPr>
          <w:b/>
          <w:bCs/>
          <w:u w:val="single"/>
        </w:rPr>
      </w:pPr>
      <w:r w:rsidRPr="00DE355B">
        <w:rPr>
          <w:b/>
          <w:bCs/>
          <w:u w:val="single"/>
        </w:rPr>
        <w:t xml:space="preserve">Results and </w:t>
      </w:r>
      <w:r>
        <w:rPr>
          <w:b/>
          <w:bCs/>
          <w:u w:val="single"/>
        </w:rPr>
        <w:t>D</w:t>
      </w:r>
      <w:r w:rsidRPr="00DE355B">
        <w:rPr>
          <w:b/>
          <w:bCs/>
          <w:u w:val="single"/>
        </w:rPr>
        <w:t>iscussion</w:t>
      </w:r>
    </w:p>
    <w:p w:rsidR="00B01315" w:rsidRPr="00DE355B" w:rsidRDefault="00B01315" w:rsidP="00B01315">
      <w:pPr>
        <w:bidi w:val="0"/>
        <w:jc w:val="lowKashida"/>
        <w:outlineLvl w:val="0"/>
        <w:rPr>
          <w:b/>
          <w:bCs/>
        </w:rPr>
      </w:pPr>
      <w:r w:rsidRPr="00DE355B">
        <w:rPr>
          <w:b/>
          <w:bCs/>
        </w:rPr>
        <w:t>Age</w:t>
      </w:r>
    </w:p>
    <w:p w:rsidR="00B01315" w:rsidRPr="00DE355B" w:rsidRDefault="00B01315" w:rsidP="00B01315">
      <w:pPr>
        <w:bidi w:val="0"/>
        <w:jc w:val="lowKashida"/>
        <w:outlineLvl w:val="0"/>
        <w:rPr>
          <w:b/>
          <w:bCs/>
        </w:rPr>
      </w:pPr>
      <w:r w:rsidRPr="00DE355B">
        <w:rPr>
          <w:b/>
          <w:bCs/>
        </w:rPr>
        <w:t xml:space="preserve">        </w:t>
      </w:r>
      <w:r w:rsidRPr="00DE355B">
        <w:t xml:space="preserve">The mean ± SD of age of patients with </w:t>
      </w:r>
      <w:r w:rsidRPr="00DE355B">
        <w:rPr>
          <w:rFonts w:cs="Simplified Arabic"/>
        </w:rPr>
        <w:t>hyperthyroidism</w:t>
      </w:r>
      <w:r w:rsidRPr="00DE355B">
        <w:t xml:space="preserve"> was 38.63 ± 10.03 years old with the range of 15-61 years. Age distribution of patients with </w:t>
      </w:r>
      <w:r w:rsidRPr="00DE355B">
        <w:rPr>
          <w:rFonts w:cs="Simplified Arabic"/>
        </w:rPr>
        <w:t>hyperthyroidism</w:t>
      </w:r>
      <w:r w:rsidRPr="00DE355B">
        <w:t xml:space="preserve"> is shown in fig. 1</w:t>
      </w:r>
    </w:p>
    <w:p w:rsidR="00B01315" w:rsidRDefault="00B01315" w:rsidP="00B01315">
      <w:pPr>
        <w:bidi w:val="0"/>
        <w:spacing w:line="360" w:lineRule="auto"/>
        <w:ind w:firstLine="567"/>
        <w:jc w:val="lowKashida"/>
        <w:rPr>
          <w:rFonts w:cs="Simplified Arabic"/>
          <w:sz w:val="28"/>
          <w:szCs w:val="28"/>
        </w:rPr>
        <w:sectPr w:rsidR="00B01315" w:rsidSect="00DE355B">
          <w:type w:val="continuous"/>
          <w:pgSz w:w="11906" w:h="16838"/>
          <w:pgMar w:top="851" w:right="1701" w:bottom="851" w:left="1701" w:header="709" w:footer="709" w:gutter="0"/>
          <w:pgNumType w:start="153"/>
          <w:cols w:num="2" w:space="709"/>
          <w:rtlGutter/>
          <w:docGrid w:linePitch="360"/>
        </w:sectPr>
      </w:pPr>
    </w:p>
    <w:p w:rsidR="00B01315" w:rsidRDefault="00B01315" w:rsidP="00B01315">
      <w:pPr>
        <w:bidi w:val="0"/>
        <w:spacing w:line="360" w:lineRule="auto"/>
        <w:ind w:firstLine="567"/>
        <w:jc w:val="lowKashida"/>
        <w:rPr>
          <w:rFonts w:cs="Simplified Arabic"/>
          <w:sz w:val="28"/>
          <w:szCs w:val="28"/>
        </w:rPr>
      </w:pPr>
      <w:r>
        <w:rPr>
          <w:rFonts w:cs="Simplified Arabic"/>
          <w:noProof/>
        </w:rPr>
        <w:lastRenderedPageBreak/>
        <w:drawing>
          <wp:anchor distT="0" distB="0" distL="114300" distR="114300" simplePos="0" relativeHeight="251659264" behindDoc="1" locked="0" layoutInCell="1" allowOverlap="1">
            <wp:simplePos x="0" y="0"/>
            <wp:positionH relativeFrom="column">
              <wp:posOffset>63500</wp:posOffset>
            </wp:positionH>
            <wp:positionV relativeFrom="paragraph">
              <wp:posOffset>157480</wp:posOffset>
            </wp:positionV>
            <wp:extent cx="5111115" cy="3210560"/>
            <wp:effectExtent l="0" t="0" r="0" b="8890"/>
            <wp:wrapNone/>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11115" cy="3210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1315" w:rsidRDefault="00B01315" w:rsidP="00B01315">
      <w:pPr>
        <w:bidi w:val="0"/>
        <w:spacing w:line="360" w:lineRule="auto"/>
        <w:ind w:firstLine="567"/>
        <w:jc w:val="lowKashida"/>
        <w:rPr>
          <w:rFonts w:cs="Simplified Arabic"/>
          <w:sz w:val="28"/>
          <w:szCs w:val="28"/>
        </w:rPr>
      </w:pPr>
    </w:p>
    <w:p w:rsidR="00B01315" w:rsidRDefault="00B01315" w:rsidP="00B01315">
      <w:pPr>
        <w:bidi w:val="0"/>
        <w:spacing w:line="360" w:lineRule="auto"/>
        <w:ind w:firstLine="567"/>
        <w:jc w:val="lowKashida"/>
        <w:rPr>
          <w:rFonts w:cs="Simplified Arabic"/>
          <w:sz w:val="28"/>
          <w:szCs w:val="28"/>
        </w:rPr>
      </w:pPr>
    </w:p>
    <w:p w:rsidR="00B01315" w:rsidRDefault="00B01315" w:rsidP="00B01315">
      <w:pPr>
        <w:bidi w:val="0"/>
        <w:spacing w:line="360" w:lineRule="auto"/>
        <w:ind w:firstLine="567"/>
        <w:jc w:val="lowKashida"/>
        <w:rPr>
          <w:rFonts w:cs="Simplified Arabic"/>
          <w:sz w:val="28"/>
          <w:szCs w:val="28"/>
        </w:rPr>
      </w:pPr>
    </w:p>
    <w:p w:rsidR="00B01315" w:rsidRDefault="00B01315" w:rsidP="00B01315">
      <w:pPr>
        <w:bidi w:val="0"/>
        <w:spacing w:line="360" w:lineRule="auto"/>
        <w:ind w:firstLine="567"/>
        <w:jc w:val="lowKashida"/>
        <w:rPr>
          <w:rFonts w:cs="Simplified Arabic"/>
          <w:sz w:val="28"/>
          <w:szCs w:val="28"/>
        </w:rPr>
      </w:pPr>
    </w:p>
    <w:p w:rsidR="00B01315" w:rsidRDefault="00B01315" w:rsidP="00B01315">
      <w:pPr>
        <w:bidi w:val="0"/>
        <w:spacing w:line="360" w:lineRule="auto"/>
        <w:ind w:firstLine="567"/>
        <w:jc w:val="lowKashida"/>
        <w:rPr>
          <w:rFonts w:cs="Simplified Arabic"/>
          <w:sz w:val="28"/>
          <w:szCs w:val="28"/>
        </w:rPr>
      </w:pPr>
    </w:p>
    <w:p w:rsidR="00B01315" w:rsidRDefault="00B01315" w:rsidP="00B01315">
      <w:pPr>
        <w:bidi w:val="0"/>
        <w:spacing w:line="360" w:lineRule="auto"/>
        <w:ind w:firstLine="567"/>
        <w:jc w:val="lowKashida"/>
        <w:rPr>
          <w:rFonts w:cs="Simplified Arabic"/>
          <w:sz w:val="28"/>
          <w:szCs w:val="28"/>
        </w:rPr>
      </w:pPr>
    </w:p>
    <w:p w:rsidR="00B01315" w:rsidRDefault="00B01315" w:rsidP="00B01315">
      <w:pPr>
        <w:bidi w:val="0"/>
        <w:spacing w:line="360" w:lineRule="auto"/>
        <w:ind w:firstLine="567"/>
        <w:jc w:val="lowKashida"/>
        <w:rPr>
          <w:rFonts w:cs="Simplified Arabic"/>
          <w:sz w:val="28"/>
          <w:szCs w:val="28"/>
        </w:rPr>
      </w:pPr>
    </w:p>
    <w:p w:rsidR="00B01315" w:rsidRDefault="00B01315" w:rsidP="00B01315">
      <w:pPr>
        <w:bidi w:val="0"/>
        <w:spacing w:line="360" w:lineRule="auto"/>
        <w:ind w:firstLine="567"/>
        <w:jc w:val="lowKashida"/>
        <w:rPr>
          <w:rFonts w:cs="Simplified Arabic"/>
          <w:sz w:val="28"/>
          <w:szCs w:val="28"/>
        </w:rPr>
      </w:pPr>
    </w:p>
    <w:p w:rsidR="00B01315" w:rsidRDefault="00B01315" w:rsidP="00B01315">
      <w:pPr>
        <w:bidi w:val="0"/>
        <w:spacing w:line="360" w:lineRule="auto"/>
        <w:ind w:firstLine="567"/>
        <w:jc w:val="lowKashida"/>
        <w:rPr>
          <w:rFonts w:cs="Simplified Arabic"/>
          <w:sz w:val="28"/>
          <w:szCs w:val="28"/>
        </w:rPr>
      </w:pPr>
    </w:p>
    <w:p w:rsidR="00B01315" w:rsidRDefault="00B01315" w:rsidP="00B01315">
      <w:pPr>
        <w:bidi w:val="0"/>
        <w:spacing w:line="360" w:lineRule="auto"/>
        <w:ind w:firstLine="567"/>
        <w:jc w:val="lowKashida"/>
        <w:rPr>
          <w:rFonts w:cs="Simplified Arabic"/>
          <w:sz w:val="28"/>
          <w:szCs w:val="28"/>
        </w:rPr>
      </w:pPr>
    </w:p>
    <w:p w:rsidR="00B01315" w:rsidRPr="00DE355B" w:rsidRDefault="00B01315" w:rsidP="00B01315">
      <w:pPr>
        <w:bidi w:val="0"/>
        <w:spacing w:line="360" w:lineRule="auto"/>
        <w:jc w:val="lowKashida"/>
        <w:rPr>
          <w:b/>
          <w:bCs/>
        </w:rPr>
      </w:pPr>
      <w:r>
        <w:rPr>
          <w:sz w:val="28"/>
          <w:szCs w:val="28"/>
        </w:rPr>
        <w:t xml:space="preserve">   </w:t>
      </w:r>
      <w:r w:rsidRPr="00DE355B">
        <w:rPr>
          <w:b/>
          <w:bCs/>
          <w:u w:val="single"/>
        </w:rPr>
        <w:t>Figure 1</w:t>
      </w:r>
      <w:r w:rsidRPr="00CF2569">
        <w:rPr>
          <w:b/>
          <w:bCs/>
        </w:rPr>
        <w:t xml:space="preserve"> </w:t>
      </w:r>
      <w:r w:rsidRPr="00DE355B">
        <w:t>Age distribution of patient with hyperthyroidism.</w:t>
      </w:r>
    </w:p>
    <w:p w:rsidR="00B01315" w:rsidRDefault="00B01315" w:rsidP="00B01315">
      <w:pPr>
        <w:autoSpaceDE w:val="0"/>
        <w:autoSpaceDN w:val="0"/>
        <w:bidi w:val="0"/>
        <w:adjustRightInd w:val="0"/>
        <w:ind w:firstLine="567"/>
        <w:jc w:val="lowKashida"/>
        <w:sectPr w:rsidR="00B01315" w:rsidSect="00DE355B">
          <w:type w:val="continuous"/>
          <w:pgSz w:w="11906" w:h="16838"/>
          <w:pgMar w:top="851" w:right="1701" w:bottom="851" w:left="1701" w:header="709" w:footer="709" w:gutter="0"/>
          <w:pgNumType w:start="153"/>
          <w:cols w:space="708"/>
          <w:bidi/>
          <w:rtlGutter/>
          <w:docGrid w:linePitch="360"/>
        </w:sectPr>
      </w:pPr>
    </w:p>
    <w:p w:rsidR="00B01315" w:rsidRPr="00DE355B" w:rsidRDefault="00B01315" w:rsidP="00B01315">
      <w:pPr>
        <w:autoSpaceDE w:val="0"/>
        <w:autoSpaceDN w:val="0"/>
        <w:bidi w:val="0"/>
        <w:adjustRightInd w:val="0"/>
        <w:ind w:firstLine="567"/>
        <w:jc w:val="lowKashida"/>
      </w:pPr>
      <w:r w:rsidRPr="00DE355B">
        <w:lastRenderedPageBreak/>
        <w:t xml:space="preserve">From this figure we can see that 55 patients (83.33%) lie in the age between 25 and 54 years old. Also four patients lie in the range of  15-24 years, and six lie in the range of  55-64 years,  and this is consistent with the fact that thyroid disorder may occurs at any age but it </w:t>
      </w:r>
      <w:r w:rsidRPr="00DE355B">
        <w:rPr>
          <w:rFonts w:cs="Simplified Arabic"/>
        </w:rPr>
        <w:t xml:space="preserve">appears that the most susceptible age group to this disorder was that </w:t>
      </w:r>
      <w:r w:rsidRPr="00DE355B">
        <w:rPr>
          <w:rFonts w:cs="Simplified Arabic"/>
        </w:rPr>
        <w:lastRenderedPageBreak/>
        <w:t xml:space="preserve">ranging  from  35-44 years and this result disagreement with other studies  by </w:t>
      </w:r>
      <w:proofErr w:type="spellStart"/>
      <w:r w:rsidRPr="00DE355B">
        <w:rPr>
          <w:rFonts w:cs="Simplified Arabic"/>
        </w:rPr>
        <w:t>Masinkiewicz</w:t>
      </w:r>
      <w:proofErr w:type="spellEnd"/>
      <w:r w:rsidRPr="00DE355B">
        <w:rPr>
          <w:rFonts w:cs="Simplified Arabic"/>
        </w:rPr>
        <w:t xml:space="preserve"> , Burrow</w:t>
      </w:r>
      <w:r w:rsidRPr="00DE355B">
        <w:rPr>
          <w:rFonts w:cs="Simplified Arabic"/>
          <w:vertAlign w:val="superscript"/>
        </w:rPr>
        <w:t xml:space="preserve"> </w:t>
      </w:r>
      <w:r w:rsidRPr="00DE355B">
        <w:rPr>
          <w:rFonts w:cs="Simplified Arabic"/>
        </w:rPr>
        <w:t xml:space="preserve">[17] and Bonar </w:t>
      </w:r>
      <w:r w:rsidRPr="00DE355B">
        <w:rPr>
          <w:rFonts w:cs="Simplified Arabic"/>
          <w:i/>
          <w:iCs/>
        </w:rPr>
        <w:t>et al</w:t>
      </w:r>
      <w:r w:rsidRPr="00DE355B">
        <w:rPr>
          <w:rFonts w:cs="Simplified Arabic"/>
        </w:rPr>
        <w:t xml:space="preserve"> [18] that considered the most susceptible age group to this disorder was that ranging  from  20–30 years.</w:t>
      </w:r>
    </w:p>
    <w:p w:rsidR="00B01315" w:rsidRDefault="00B01315" w:rsidP="00B01315">
      <w:pPr>
        <w:bidi w:val="0"/>
        <w:jc w:val="lowKashida"/>
        <w:outlineLvl w:val="0"/>
        <w:rPr>
          <w:b/>
          <w:bCs/>
        </w:rPr>
      </w:pPr>
    </w:p>
    <w:p w:rsidR="00B01315" w:rsidRDefault="00B01315" w:rsidP="00B01315">
      <w:pPr>
        <w:bidi w:val="0"/>
        <w:jc w:val="lowKashida"/>
        <w:outlineLvl w:val="0"/>
        <w:rPr>
          <w:b/>
          <w:bCs/>
        </w:rPr>
      </w:pPr>
    </w:p>
    <w:p w:rsidR="00B01315" w:rsidRPr="00DE355B" w:rsidRDefault="00B01315" w:rsidP="00B01315">
      <w:pPr>
        <w:bidi w:val="0"/>
        <w:jc w:val="lowKashida"/>
        <w:outlineLvl w:val="0"/>
        <w:rPr>
          <w:b/>
          <w:bCs/>
        </w:rPr>
      </w:pPr>
      <w:r w:rsidRPr="00DE355B">
        <w:rPr>
          <w:b/>
          <w:bCs/>
        </w:rPr>
        <w:lastRenderedPageBreak/>
        <w:t xml:space="preserve">Gender and hyperthyroidism </w:t>
      </w:r>
    </w:p>
    <w:p w:rsidR="00B01315" w:rsidRPr="00DE355B" w:rsidRDefault="00B01315" w:rsidP="00B01315">
      <w:pPr>
        <w:bidi w:val="0"/>
        <w:jc w:val="lowKashida"/>
      </w:pPr>
      <w:r w:rsidRPr="00DE355B">
        <w:t xml:space="preserve">          Amongst 65 patients with hyperthyroidism contribute in this study, there were 13 males and 52 females, and this represents 20 % and 80 % of patients respectively.</w:t>
      </w:r>
    </w:p>
    <w:p w:rsidR="00B01315" w:rsidRPr="00DE355B" w:rsidRDefault="00B01315" w:rsidP="00B01315">
      <w:pPr>
        <w:autoSpaceDE w:val="0"/>
        <w:autoSpaceDN w:val="0"/>
        <w:bidi w:val="0"/>
        <w:adjustRightInd w:val="0"/>
        <w:ind w:firstLine="567"/>
        <w:jc w:val="lowKashida"/>
      </w:pPr>
      <w:r w:rsidRPr="00DE355B">
        <w:rPr>
          <w:rFonts w:cs="Simplified Arabic"/>
        </w:rPr>
        <w:t xml:space="preserve">From the above results, it seems that females were more susceptible to such disease than males and that agrees with several studies Ali </w:t>
      </w:r>
      <w:r w:rsidRPr="00DE355B">
        <w:rPr>
          <w:rFonts w:cs="Simplified Arabic"/>
          <w:i/>
          <w:iCs/>
        </w:rPr>
        <w:t xml:space="preserve">et al </w:t>
      </w:r>
      <w:r w:rsidRPr="00DE355B">
        <w:rPr>
          <w:rFonts w:cs="Simplified Arabic"/>
        </w:rPr>
        <w:t xml:space="preserve">[19] Ahmed </w:t>
      </w:r>
      <w:r w:rsidRPr="00DE355B">
        <w:rPr>
          <w:rFonts w:cs="Simplified Arabic"/>
          <w:i/>
          <w:iCs/>
        </w:rPr>
        <w:t>et al</w:t>
      </w:r>
      <w:r w:rsidRPr="00DE355B">
        <w:rPr>
          <w:rFonts w:cs="Simplified Arabic"/>
        </w:rPr>
        <w:t xml:space="preserve"> [20]. The reasons that may assist or exacerbate the female to acquire this disease could be due to sex hormones imbalance such as estrogen</w:t>
      </w:r>
      <w:r w:rsidRPr="00DE355B">
        <w:rPr>
          <w:rFonts w:cs="Simplified Arabic"/>
          <w:i/>
          <w:iCs/>
        </w:rPr>
        <w:t xml:space="preserve"> </w:t>
      </w:r>
      <w:r w:rsidRPr="00DE355B">
        <w:rPr>
          <w:rFonts w:cs="Simplified Arabic"/>
        </w:rPr>
        <w:t xml:space="preserve">hormone, which is normally elevated in females during puberty and pregnancy. </w:t>
      </w:r>
    </w:p>
    <w:p w:rsidR="00B01315" w:rsidRPr="00DE355B" w:rsidRDefault="00B01315" w:rsidP="00B01315">
      <w:pPr>
        <w:bidi w:val="0"/>
        <w:jc w:val="both"/>
        <w:rPr>
          <w:b/>
          <w:bCs/>
        </w:rPr>
      </w:pPr>
      <w:r w:rsidRPr="00DE355B">
        <w:rPr>
          <w:b/>
          <w:bCs/>
        </w:rPr>
        <w:lastRenderedPageBreak/>
        <w:t>Types of hyperthyroidism:</w:t>
      </w:r>
    </w:p>
    <w:p w:rsidR="00B01315" w:rsidRPr="00DE355B" w:rsidRDefault="00B01315" w:rsidP="00B01315">
      <w:pPr>
        <w:bidi w:val="0"/>
        <w:jc w:val="both"/>
        <w:rPr>
          <w:bCs/>
        </w:rPr>
      </w:pPr>
      <w:r w:rsidRPr="00DE355B">
        <w:rPr>
          <w:bCs/>
        </w:rPr>
        <w:t xml:space="preserve">       The distribution of among hyperthyroidism types for patients showed that diffuse toxic patients represent 41.53 % of patients group, while toxic nodule patients represent 26.15 % and toxic nodular </w:t>
      </w:r>
      <w:proofErr w:type="spellStart"/>
      <w:r w:rsidRPr="00DE355B">
        <w:rPr>
          <w:bCs/>
        </w:rPr>
        <w:t>goitre</w:t>
      </w:r>
      <w:proofErr w:type="spellEnd"/>
      <w:r w:rsidRPr="00DE355B">
        <w:rPr>
          <w:bCs/>
        </w:rPr>
        <w:t xml:space="preserve"> patients represent 32.30 %.</w:t>
      </w:r>
    </w:p>
    <w:p w:rsidR="00B01315" w:rsidRPr="00DE355B" w:rsidRDefault="00B01315" w:rsidP="00B01315">
      <w:pPr>
        <w:bidi w:val="0"/>
        <w:jc w:val="lowKashida"/>
        <w:rPr>
          <w:b/>
          <w:bCs/>
        </w:rPr>
      </w:pPr>
      <w:r w:rsidRPr="00DE355B">
        <w:rPr>
          <w:b/>
          <w:bCs/>
        </w:rPr>
        <w:t xml:space="preserve">Hormonal measurements </w:t>
      </w:r>
    </w:p>
    <w:p w:rsidR="00B01315" w:rsidRPr="00DE355B" w:rsidRDefault="00B01315" w:rsidP="00B01315">
      <w:pPr>
        <w:bidi w:val="0"/>
        <w:ind w:firstLine="567"/>
        <w:jc w:val="lowKashida"/>
      </w:pPr>
      <w:r w:rsidRPr="00DE355B">
        <w:rPr>
          <w:rFonts w:cs="Simplified Arabic"/>
        </w:rPr>
        <w:t>The concentration of (TSH</w:t>
      </w:r>
      <w:r w:rsidRPr="00DE355B">
        <w:rPr>
          <w:rFonts w:cs="Andalus" w:hint="cs"/>
        </w:rPr>
        <w:t xml:space="preserve"> µ</w:t>
      </w:r>
      <w:proofErr w:type="spellStart"/>
      <w:r w:rsidRPr="00DE355B">
        <w:rPr>
          <w:rFonts w:cs="Andalus"/>
        </w:rPr>
        <w:t>l</w:t>
      </w:r>
      <w:r w:rsidRPr="00DE355B">
        <w:t>U</w:t>
      </w:r>
      <w:proofErr w:type="spellEnd"/>
      <w:r w:rsidRPr="00DE355B">
        <w:t>/ml)</w:t>
      </w:r>
      <w:r w:rsidRPr="00DE355B">
        <w:rPr>
          <w:rFonts w:cs="Simplified Arabic"/>
        </w:rPr>
        <w:t xml:space="preserve"> in patient reduces significantly, while the concentration of (T3 </w:t>
      </w:r>
      <w:proofErr w:type="spellStart"/>
      <w:r w:rsidRPr="00DE355B">
        <w:t>nmol</w:t>
      </w:r>
      <w:proofErr w:type="spellEnd"/>
      <w:r w:rsidRPr="00DE355B">
        <w:t>/l</w:t>
      </w:r>
      <w:r w:rsidRPr="00DE355B">
        <w:rPr>
          <w:rFonts w:cs="Simplified Arabic"/>
        </w:rPr>
        <w:t xml:space="preserve">, T4 </w:t>
      </w:r>
      <w:proofErr w:type="spellStart"/>
      <w:r w:rsidRPr="00DE355B">
        <w:rPr>
          <w:rFonts w:cs="Andalus"/>
        </w:rPr>
        <w:t>nmol</w:t>
      </w:r>
      <w:proofErr w:type="spellEnd"/>
      <w:r w:rsidRPr="00DE355B">
        <w:rPr>
          <w:rFonts w:cs="Andalus"/>
        </w:rPr>
        <w:t>/l</w:t>
      </w:r>
      <w:r w:rsidRPr="00DE355B">
        <w:rPr>
          <w:rFonts w:cs="Simplified Arabic"/>
        </w:rPr>
        <w:t xml:space="preserve">) increases significantly as compared with normal control group (p </w:t>
      </w:r>
      <w:r w:rsidRPr="00DE355B">
        <w:t>&lt;</w:t>
      </w:r>
      <w:r w:rsidRPr="00DE355B">
        <w:rPr>
          <w:rFonts w:cs="Simplified Arabic"/>
        </w:rPr>
        <w:t xml:space="preserve"> 0.01) </w:t>
      </w:r>
      <w:r w:rsidRPr="00DE355B">
        <w:t>as shown in table (1).</w:t>
      </w:r>
    </w:p>
    <w:p w:rsidR="00B01315" w:rsidRDefault="00B01315" w:rsidP="00B01315">
      <w:pPr>
        <w:bidi w:val="0"/>
        <w:rPr>
          <w:b/>
          <w:bCs/>
        </w:rPr>
        <w:sectPr w:rsidR="00B01315" w:rsidSect="00080AE1">
          <w:type w:val="continuous"/>
          <w:pgSz w:w="11906" w:h="16838"/>
          <w:pgMar w:top="851" w:right="1701" w:bottom="851" w:left="1701" w:header="709" w:footer="709" w:gutter="0"/>
          <w:pgNumType w:start="155"/>
          <w:cols w:num="2" w:space="709"/>
          <w:rtlGutter/>
          <w:docGrid w:linePitch="360"/>
        </w:sectPr>
      </w:pPr>
    </w:p>
    <w:p w:rsidR="00B01315" w:rsidRPr="00DE355B" w:rsidRDefault="00B01315" w:rsidP="00B01315">
      <w:pPr>
        <w:bidi w:val="0"/>
        <w:rPr>
          <w:b/>
          <w:bCs/>
        </w:rPr>
      </w:pPr>
    </w:p>
    <w:p w:rsidR="00B01315" w:rsidRPr="00DE355B" w:rsidRDefault="00B01315" w:rsidP="00B01315">
      <w:pPr>
        <w:bidi w:val="0"/>
      </w:pPr>
      <w:r w:rsidRPr="00DE355B">
        <w:rPr>
          <w:b/>
          <w:bCs/>
          <w:u w:val="single"/>
        </w:rPr>
        <w:t>Table 1</w:t>
      </w:r>
      <w:r>
        <w:rPr>
          <w:b/>
          <w:bCs/>
        </w:rPr>
        <w:t xml:space="preserve"> </w:t>
      </w:r>
      <w:r w:rsidRPr="00DE355B">
        <w:t xml:space="preserve">Mean and SD of concentrations of TSH, T3 and T4 in patients with </w:t>
      </w:r>
      <w:r w:rsidRPr="00DE355B">
        <w:rPr>
          <w:rFonts w:cs="Simplified Arabic"/>
        </w:rPr>
        <w:t xml:space="preserve">  Control</w:t>
      </w:r>
      <w:r w:rsidRPr="00DE355B">
        <w:t xml:space="preserve"> </w:t>
      </w:r>
      <w:r w:rsidRPr="00DE355B">
        <w:rPr>
          <w:rFonts w:cs="Simplified Arabic"/>
        </w:rPr>
        <w:t>groups.</w:t>
      </w:r>
    </w:p>
    <w:tbl>
      <w:tblPr>
        <w:tblW w:w="0" w:type="auto"/>
        <w:jc w:val="center"/>
        <w:tblInd w:w="534" w:type="dxa"/>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1E0" w:firstRow="1" w:lastRow="1" w:firstColumn="1" w:lastColumn="1" w:noHBand="0" w:noVBand="0"/>
      </w:tblPr>
      <w:tblGrid>
        <w:gridCol w:w="1964"/>
        <w:gridCol w:w="1438"/>
        <w:gridCol w:w="2409"/>
        <w:gridCol w:w="1418"/>
      </w:tblGrid>
      <w:tr w:rsidR="00B01315" w:rsidRPr="00080AE1" w:rsidTr="0056038E">
        <w:trPr>
          <w:jc w:val="center"/>
        </w:trPr>
        <w:tc>
          <w:tcPr>
            <w:tcW w:w="1964" w:type="dxa"/>
            <w:shd w:val="clear" w:color="auto" w:fill="CCCCCC"/>
            <w:vAlign w:val="center"/>
          </w:tcPr>
          <w:p w:rsidR="00B01315" w:rsidRPr="00080AE1" w:rsidRDefault="00B01315" w:rsidP="0056038E">
            <w:pPr>
              <w:bidi w:val="0"/>
              <w:spacing w:line="360" w:lineRule="auto"/>
              <w:jc w:val="center"/>
              <w:rPr>
                <w:b/>
              </w:rPr>
            </w:pPr>
            <w:r w:rsidRPr="00080AE1">
              <w:rPr>
                <w:b/>
              </w:rPr>
              <w:t>Parameters</w:t>
            </w:r>
          </w:p>
        </w:tc>
        <w:tc>
          <w:tcPr>
            <w:tcW w:w="1438" w:type="dxa"/>
            <w:shd w:val="clear" w:color="auto" w:fill="CCCCCC"/>
            <w:vAlign w:val="center"/>
          </w:tcPr>
          <w:p w:rsidR="00B01315" w:rsidRPr="00080AE1" w:rsidRDefault="00B01315" w:rsidP="0056038E">
            <w:pPr>
              <w:bidi w:val="0"/>
              <w:spacing w:line="360" w:lineRule="auto"/>
              <w:jc w:val="center"/>
              <w:rPr>
                <w:b/>
              </w:rPr>
            </w:pPr>
            <w:r w:rsidRPr="00080AE1">
              <w:rPr>
                <w:b/>
              </w:rPr>
              <w:t>Groups</w:t>
            </w:r>
          </w:p>
        </w:tc>
        <w:tc>
          <w:tcPr>
            <w:tcW w:w="2409" w:type="dxa"/>
            <w:shd w:val="clear" w:color="auto" w:fill="CCCCCC"/>
            <w:vAlign w:val="center"/>
          </w:tcPr>
          <w:p w:rsidR="00B01315" w:rsidRPr="00080AE1" w:rsidRDefault="00B01315" w:rsidP="0056038E">
            <w:pPr>
              <w:bidi w:val="0"/>
              <w:spacing w:line="360" w:lineRule="auto"/>
              <w:jc w:val="center"/>
              <w:rPr>
                <w:b/>
              </w:rPr>
            </w:pPr>
            <w:r w:rsidRPr="00080AE1">
              <w:rPr>
                <w:b/>
              </w:rPr>
              <w:t>Mean ± SD</w:t>
            </w:r>
          </w:p>
        </w:tc>
        <w:tc>
          <w:tcPr>
            <w:tcW w:w="1418" w:type="dxa"/>
            <w:shd w:val="clear" w:color="auto" w:fill="CCCCCC"/>
            <w:vAlign w:val="center"/>
          </w:tcPr>
          <w:p w:rsidR="00B01315" w:rsidRPr="00080AE1" w:rsidRDefault="00B01315" w:rsidP="0056038E">
            <w:pPr>
              <w:bidi w:val="0"/>
              <w:spacing w:line="360" w:lineRule="auto"/>
              <w:jc w:val="center"/>
              <w:rPr>
                <w:b/>
              </w:rPr>
            </w:pPr>
            <w:r w:rsidRPr="00080AE1">
              <w:rPr>
                <w:b/>
              </w:rPr>
              <w:t>P-value</w:t>
            </w:r>
          </w:p>
        </w:tc>
      </w:tr>
      <w:tr w:rsidR="00B01315" w:rsidRPr="00080AE1" w:rsidTr="0056038E">
        <w:trPr>
          <w:trHeight w:val="920"/>
          <w:jc w:val="center"/>
        </w:trPr>
        <w:tc>
          <w:tcPr>
            <w:tcW w:w="1964" w:type="dxa"/>
            <w:shd w:val="clear" w:color="auto" w:fill="CCCCCC"/>
            <w:vAlign w:val="center"/>
          </w:tcPr>
          <w:p w:rsidR="00B01315" w:rsidRPr="00080AE1" w:rsidRDefault="00B01315" w:rsidP="0056038E">
            <w:pPr>
              <w:bidi w:val="0"/>
              <w:spacing w:line="360" w:lineRule="auto"/>
              <w:jc w:val="center"/>
              <w:rPr>
                <w:b/>
              </w:rPr>
            </w:pPr>
          </w:p>
          <w:p w:rsidR="00B01315" w:rsidRPr="00080AE1" w:rsidRDefault="00B01315" w:rsidP="0056038E">
            <w:pPr>
              <w:bidi w:val="0"/>
              <w:spacing w:line="360" w:lineRule="auto"/>
              <w:jc w:val="center"/>
              <w:rPr>
                <w:b/>
              </w:rPr>
            </w:pPr>
            <w:r w:rsidRPr="00080AE1">
              <w:rPr>
                <w:b/>
              </w:rPr>
              <w:t xml:space="preserve">TSH </w:t>
            </w:r>
            <w:r w:rsidRPr="00080AE1">
              <w:rPr>
                <w:rFonts w:cs="Andalus" w:hint="cs"/>
                <w:b/>
              </w:rPr>
              <w:t>µ</w:t>
            </w:r>
            <w:proofErr w:type="spellStart"/>
            <w:r w:rsidRPr="00080AE1">
              <w:rPr>
                <w:rFonts w:cs="Andalus"/>
                <w:b/>
              </w:rPr>
              <w:t>l</w:t>
            </w:r>
            <w:r w:rsidRPr="00080AE1">
              <w:rPr>
                <w:b/>
              </w:rPr>
              <w:t>U</w:t>
            </w:r>
            <w:proofErr w:type="spellEnd"/>
            <w:r w:rsidRPr="00080AE1">
              <w:rPr>
                <w:b/>
              </w:rPr>
              <w:t>/ml</w:t>
            </w:r>
          </w:p>
        </w:tc>
        <w:tc>
          <w:tcPr>
            <w:tcW w:w="1438" w:type="dxa"/>
          </w:tcPr>
          <w:p w:rsidR="00B01315" w:rsidRPr="00080AE1" w:rsidRDefault="00B01315" w:rsidP="0056038E">
            <w:pPr>
              <w:bidi w:val="0"/>
              <w:spacing w:line="360" w:lineRule="auto"/>
              <w:jc w:val="lowKashida"/>
              <w:rPr>
                <w:bCs/>
              </w:rPr>
            </w:pPr>
            <w:r w:rsidRPr="00080AE1">
              <w:rPr>
                <w:bCs/>
              </w:rPr>
              <w:t>Patients</w:t>
            </w:r>
          </w:p>
          <w:p w:rsidR="00B01315" w:rsidRPr="00080AE1" w:rsidRDefault="00B01315" w:rsidP="0056038E">
            <w:pPr>
              <w:bidi w:val="0"/>
              <w:spacing w:line="360" w:lineRule="auto"/>
              <w:jc w:val="lowKashida"/>
              <w:rPr>
                <w:bCs/>
              </w:rPr>
            </w:pPr>
            <w:r w:rsidRPr="00080AE1">
              <w:rPr>
                <w:bCs/>
              </w:rPr>
              <w:t>Control</w:t>
            </w:r>
          </w:p>
        </w:tc>
        <w:tc>
          <w:tcPr>
            <w:tcW w:w="2409" w:type="dxa"/>
          </w:tcPr>
          <w:p w:rsidR="00B01315" w:rsidRPr="00080AE1" w:rsidRDefault="00B01315" w:rsidP="0056038E">
            <w:pPr>
              <w:bidi w:val="0"/>
              <w:spacing w:line="360" w:lineRule="auto"/>
              <w:jc w:val="lowKashida"/>
              <w:rPr>
                <w:bCs/>
              </w:rPr>
            </w:pPr>
            <w:r w:rsidRPr="00080AE1">
              <w:rPr>
                <w:bCs/>
              </w:rPr>
              <w:t>0.12</w:t>
            </w:r>
            <w:r w:rsidRPr="00080AE1">
              <w:t xml:space="preserve"> ±</w:t>
            </w:r>
            <w:r w:rsidRPr="00080AE1">
              <w:rPr>
                <w:bCs/>
              </w:rPr>
              <w:t xml:space="preserve"> 0.23</w:t>
            </w:r>
          </w:p>
          <w:p w:rsidR="00B01315" w:rsidRPr="00080AE1" w:rsidRDefault="00B01315" w:rsidP="0056038E">
            <w:pPr>
              <w:bidi w:val="0"/>
              <w:spacing w:line="360" w:lineRule="auto"/>
              <w:jc w:val="lowKashida"/>
              <w:rPr>
                <w:bCs/>
              </w:rPr>
            </w:pPr>
            <w:r w:rsidRPr="00080AE1">
              <w:rPr>
                <w:bCs/>
              </w:rPr>
              <w:t xml:space="preserve">0.56 </w:t>
            </w:r>
            <w:r w:rsidRPr="00080AE1">
              <w:t>±</w:t>
            </w:r>
            <w:r w:rsidRPr="00080AE1">
              <w:rPr>
                <w:bCs/>
              </w:rPr>
              <w:t xml:space="preserve"> 0.35</w:t>
            </w:r>
          </w:p>
        </w:tc>
        <w:tc>
          <w:tcPr>
            <w:tcW w:w="1418" w:type="dxa"/>
          </w:tcPr>
          <w:p w:rsidR="00B01315" w:rsidRPr="00080AE1" w:rsidRDefault="00B01315" w:rsidP="0056038E">
            <w:pPr>
              <w:bidi w:val="0"/>
              <w:spacing w:line="360" w:lineRule="auto"/>
              <w:jc w:val="lowKashida"/>
              <w:rPr>
                <w:bCs/>
                <w:vertAlign w:val="superscript"/>
              </w:rPr>
            </w:pPr>
            <w:r w:rsidRPr="00080AE1">
              <w:rPr>
                <w:bCs/>
              </w:rPr>
              <w:t>P&lt; 0.01</w:t>
            </w:r>
            <w:r w:rsidRPr="00080AE1">
              <w:rPr>
                <w:b/>
                <w:vertAlign w:val="superscript"/>
              </w:rPr>
              <w:t>**</w:t>
            </w:r>
          </w:p>
        </w:tc>
      </w:tr>
      <w:tr w:rsidR="00B01315" w:rsidRPr="00080AE1" w:rsidTr="0056038E">
        <w:trPr>
          <w:jc w:val="center"/>
        </w:trPr>
        <w:tc>
          <w:tcPr>
            <w:tcW w:w="1964" w:type="dxa"/>
            <w:shd w:val="clear" w:color="auto" w:fill="CCCCCC"/>
            <w:vAlign w:val="center"/>
          </w:tcPr>
          <w:p w:rsidR="00B01315" w:rsidRPr="00080AE1" w:rsidRDefault="00B01315" w:rsidP="0056038E">
            <w:pPr>
              <w:bidi w:val="0"/>
              <w:spacing w:line="360" w:lineRule="auto"/>
              <w:jc w:val="center"/>
              <w:rPr>
                <w:b/>
              </w:rPr>
            </w:pPr>
          </w:p>
          <w:p w:rsidR="00B01315" w:rsidRPr="00080AE1" w:rsidRDefault="00B01315" w:rsidP="0056038E">
            <w:pPr>
              <w:bidi w:val="0"/>
              <w:spacing w:line="360" w:lineRule="auto"/>
              <w:jc w:val="center"/>
              <w:rPr>
                <w:b/>
              </w:rPr>
            </w:pPr>
            <w:r w:rsidRPr="00080AE1">
              <w:rPr>
                <w:b/>
              </w:rPr>
              <w:t xml:space="preserve">T3 </w:t>
            </w:r>
            <w:proofErr w:type="spellStart"/>
            <w:r w:rsidRPr="00080AE1">
              <w:rPr>
                <w:b/>
              </w:rPr>
              <w:t>nmol</w:t>
            </w:r>
            <w:proofErr w:type="spellEnd"/>
            <w:r w:rsidRPr="00080AE1">
              <w:rPr>
                <w:b/>
              </w:rPr>
              <w:t>/L</w:t>
            </w:r>
          </w:p>
        </w:tc>
        <w:tc>
          <w:tcPr>
            <w:tcW w:w="1438" w:type="dxa"/>
          </w:tcPr>
          <w:p w:rsidR="00B01315" w:rsidRPr="00080AE1" w:rsidRDefault="00B01315" w:rsidP="0056038E">
            <w:pPr>
              <w:bidi w:val="0"/>
              <w:spacing w:line="360" w:lineRule="auto"/>
              <w:jc w:val="lowKashida"/>
              <w:rPr>
                <w:bCs/>
              </w:rPr>
            </w:pPr>
            <w:r w:rsidRPr="00080AE1">
              <w:rPr>
                <w:bCs/>
              </w:rPr>
              <w:t>Patients</w:t>
            </w:r>
          </w:p>
          <w:p w:rsidR="00B01315" w:rsidRPr="00080AE1" w:rsidRDefault="00B01315" w:rsidP="0056038E">
            <w:pPr>
              <w:bidi w:val="0"/>
              <w:spacing w:line="360" w:lineRule="auto"/>
              <w:jc w:val="lowKashida"/>
              <w:rPr>
                <w:bCs/>
              </w:rPr>
            </w:pPr>
            <w:r w:rsidRPr="00080AE1">
              <w:rPr>
                <w:bCs/>
              </w:rPr>
              <w:t>Control</w:t>
            </w:r>
          </w:p>
        </w:tc>
        <w:tc>
          <w:tcPr>
            <w:tcW w:w="2409" w:type="dxa"/>
          </w:tcPr>
          <w:p w:rsidR="00B01315" w:rsidRPr="00080AE1" w:rsidRDefault="00B01315" w:rsidP="0056038E">
            <w:pPr>
              <w:bidi w:val="0"/>
              <w:spacing w:line="360" w:lineRule="auto"/>
              <w:jc w:val="lowKashida"/>
              <w:rPr>
                <w:bCs/>
              </w:rPr>
            </w:pPr>
            <w:r w:rsidRPr="00080AE1">
              <w:rPr>
                <w:bCs/>
              </w:rPr>
              <w:t xml:space="preserve">2.38 </w:t>
            </w:r>
            <w:r w:rsidRPr="00080AE1">
              <w:t>±</w:t>
            </w:r>
            <w:r w:rsidRPr="00080AE1">
              <w:rPr>
                <w:bCs/>
              </w:rPr>
              <w:t xml:space="preserve"> 0.99</w:t>
            </w:r>
          </w:p>
          <w:p w:rsidR="00B01315" w:rsidRPr="00080AE1" w:rsidRDefault="00B01315" w:rsidP="0056038E">
            <w:pPr>
              <w:bidi w:val="0"/>
              <w:spacing w:line="360" w:lineRule="auto"/>
              <w:jc w:val="lowKashida"/>
              <w:rPr>
                <w:bCs/>
              </w:rPr>
            </w:pPr>
            <w:r w:rsidRPr="00080AE1">
              <w:rPr>
                <w:bCs/>
              </w:rPr>
              <w:t xml:space="preserve">1.23 </w:t>
            </w:r>
            <w:r w:rsidRPr="00080AE1">
              <w:t>±</w:t>
            </w:r>
            <w:r w:rsidRPr="00080AE1">
              <w:rPr>
                <w:bCs/>
              </w:rPr>
              <w:t xml:space="preserve"> 0.42</w:t>
            </w:r>
          </w:p>
        </w:tc>
        <w:tc>
          <w:tcPr>
            <w:tcW w:w="1418" w:type="dxa"/>
          </w:tcPr>
          <w:p w:rsidR="00B01315" w:rsidRPr="00080AE1" w:rsidRDefault="00B01315" w:rsidP="0056038E">
            <w:pPr>
              <w:bidi w:val="0"/>
              <w:spacing w:line="360" w:lineRule="auto"/>
              <w:jc w:val="lowKashida"/>
              <w:rPr>
                <w:bCs/>
              </w:rPr>
            </w:pPr>
            <w:r w:rsidRPr="00080AE1">
              <w:rPr>
                <w:bCs/>
              </w:rPr>
              <w:t>P&lt; 0.01**</w:t>
            </w:r>
          </w:p>
        </w:tc>
      </w:tr>
      <w:tr w:rsidR="00B01315" w:rsidRPr="00080AE1" w:rsidTr="0056038E">
        <w:trPr>
          <w:jc w:val="center"/>
        </w:trPr>
        <w:tc>
          <w:tcPr>
            <w:tcW w:w="1964" w:type="dxa"/>
            <w:shd w:val="clear" w:color="auto" w:fill="CCCCCC"/>
            <w:vAlign w:val="center"/>
          </w:tcPr>
          <w:p w:rsidR="00B01315" w:rsidRPr="00080AE1" w:rsidRDefault="00B01315" w:rsidP="0056038E">
            <w:pPr>
              <w:bidi w:val="0"/>
              <w:spacing w:line="360" w:lineRule="auto"/>
              <w:jc w:val="center"/>
              <w:rPr>
                <w:b/>
              </w:rPr>
            </w:pPr>
          </w:p>
          <w:p w:rsidR="00B01315" w:rsidRPr="00080AE1" w:rsidRDefault="00B01315" w:rsidP="0056038E">
            <w:pPr>
              <w:bidi w:val="0"/>
              <w:spacing w:line="360" w:lineRule="auto"/>
              <w:jc w:val="center"/>
              <w:rPr>
                <w:b/>
              </w:rPr>
            </w:pPr>
            <w:r w:rsidRPr="00080AE1">
              <w:rPr>
                <w:b/>
              </w:rPr>
              <w:t>T4</w:t>
            </w:r>
            <w:r w:rsidRPr="00080AE1">
              <w:rPr>
                <w:rFonts w:cs="Andalus"/>
                <w:b/>
              </w:rPr>
              <w:t xml:space="preserve"> </w:t>
            </w:r>
            <w:proofErr w:type="spellStart"/>
            <w:r w:rsidRPr="00080AE1">
              <w:rPr>
                <w:rFonts w:cs="Andalus"/>
                <w:b/>
              </w:rPr>
              <w:t>nmol</w:t>
            </w:r>
            <w:proofErr w:type="spellEnd"/>
            <w:r w:rsidRPr="00080AE1">
              <w:rPr>
                <w:rFonts w:cs="Andalus"/>
                <w:b/>
              </w:rPr>
              <w:t>/L</w:t>
            </w:r>
          </w:p>
        </w:tc>
        <w:tc>
          <w:tcPr>
            <w:tcW w:w="1438" w:type="dxa"/>
          </w:tcPr>
          <w:p w:rsidR="00B01315" w:rsidRPr="00080AE1" w:rsidRDefault="00B01315" w:rsidP="0056038E">
            <w:pPr>
              <w:bidi w:val="0"/>
              <w:spacing w:line="360" w:lineRule="auto"/>
              <w:jc w:val="lowKashida"/>
              <w:rPr>
                <w:bCs/>
              </w:rPr>
            </w:pPr>
            <w:r w:rsidRPr="00080AE1">
              <w:rPr>
                <w:bCs/>
              </w:rPr>
              <w:t>Patients</w:t>
            </w:r>
          </w:p>
          <w:p w:rsidR="00B01315" w:rsidRPr="00080AE1" w:rsidRDefault="00B01315" w:rsidP="0056038E">
            <w:pPr>
              <w:bidi w:val="0"/>
              <w:spacing w:line="360" w:lineRule="auto"/>
              <w:jc w:val="lowKashida"/>
              <w:rPr>
                <w:bCs/>
              </w:rPr>
            </w:pPr>
            <w:r w:rsidRPr="00080AE1">
              <w:rPr>
                <w:bCs/>
              </w:rPr>
              <w:t>Control</w:t>
            </w:r>
          </w:p>
        </w:tc>
        <w:tc>
          <w:tcPr>
            <w:tcW w:w="2409" w:type="dxa"/>
          </w:tcPr>
          <w:p w:rsidR="00B01315" w:rsidRPr="00080AE1" w:rsidRDefault="00B01315" w:rsidP="0056038E">
            <w:pPr>
              <w:bidi w:val="0"/>
              <w:spacing w:line="360" w:lineRule="auto"/>
              <w:jc w:val="lowKashida"/>
            </w:pPr>
            <w:r w:rsidRPr="00080AE1">
              <w:rPr>
                <w:bCs/>
              </w:rPr>
              <w:t xml:space="preserve">131.93 </w:t>
            </w:r>
            <w:r w:rsidRPr="00080AE1">
              <w:t>± 36.28</w:t>
            </w:r>
          </w:p>
          <w:p w:rsidR="00B01315" w:rsidRPr="00080AE1" w:rsidRDefault="00B01315" w:rsidP="0056038E">
            <w:pPr>
              <w:bidi w:val="0"/>
              <w:spacing w:line="360" w:lineRule="auto"/>
              <w:jc w:val="lowKashida"/>
              <w:rPr>
                <w:bCs/>
              </w:rPr>
            </w:pPr>
            <w:r w:rsidRPr="00080AE1">
              <w:rPr>
                <w:bCs/>
              </w:rPr>
              <w:t xml:space="preserve">87.45 </w:t>
            </w:r>
            <w:r w:rsidRPr="00080AE1">
              <w:t>±</w:t>
            </w:r>
            <w:r w:rsidRPr="00080AE1">
              <w:rPr>
                <w:bCs/>
              </w:rPr>
              <w:t xml:space="preserve"> 13.45</w:t>
            </w:r>
          </w:p>
        </w:tc>
        <w:tc>
          <w:tcPr>
            <w:tcW w:w="1418" w:type="dxa"/>
          </w:tcPr>
          <w:p w:rsidR="00B01315" w:rsidRPr="00080AE1" w:rsidRDefault="00B01315" w:rsidP="0056038E">
            <w:pPr>
              <w:bidi w:val="0"/>
              <w:spacing w:line="360" w:lineRule="auto"/>
              <w:jc w:val="lowKashida"/>
              <w:rPr>
                <w:bCs/>
              </w:rPr>
            </w:pPr>
            <w:r w:rsidRPr="00080AE1">
              <w:rPr>
                <w:bCs/>
              </w:rPr>
              <w:t>P&lt; 0.01</w:t>
            </w:r>
            <w:r w:rsidRPr="00080AE1">
              <w:rPr>
                <w:b/>
              </w:rPr>
              <w:t>**</w:t>
            </w:r>
          </w:p>
        </w:tc>
      </w:tr>
    </w:tbl>
    <w:p w:rsidR="00B01315" w:rsidRPr="00DE355B" w:rsidRDefault="00B01315" w:rsidP="00B01315">
      <w:pPr>
        <w:bidi w:val="0"/>
        <w:jc w:val="lowKashida"/>
        <w:rPr>
          <w:rFonts w:cs="Simplified Arabic"/>
        </w:rPr>
      </w:pPr>
      <w:r w:rsidRPr="00DE355B">
        <w:rPr>
          <w:rFonts w:cs="Simplified Arabic"/>
        </w:rPr>
        <w:t>**:  the difference is highly significant at p=0.01.</w:t>
      </w:r>
    </w:p>
    <w:p w:rsidR="00B01315" w:rsidRDefault="00B01315" w:rsidP="00B01315">
      <w:pPr>
        <w:autoSpaceDE w:val="0"/>
        <w:autoSpaceDN w:val="0"/>
        <w:bidi w:val="0"/>
        <w:adjustRightInd w:val="0"/>
        <w:ind w:firstLine="567"/>
        <w:jc w:val="lowKashida"/>
        <w:rPr>
          <w:rFonts w:cs="Simplified Arabic"/>
        </w:rPr>
        <w:sectPr w:rsidR="00B01315" w:rsidSect="00DE355B">
          <w:type w:val="continuous"/>
          <w:pgSz w:w="11906" w:h="16838"/>
          <w:pgMar w:top="851" w:right="1701" w:bottom="851" w:left="1701" w:header="709" w:footer="709" w:gutter="0"/>
          <w:pgNumType w:start="153"/>
          <w:cols w:space="708"/>
          <w:bidi/>
          <w:rtlGutter/>
          <w:docGrid w:linePitch="360"/>
        </w:sectPr>
      </w:pPr>
    </w:p>
    <w:p w:rsidR="00B01315" w:rsidRPr="00DE355B" w:rsidRDefault="00B01315" w:rsidP="00B01315">
      <w:pPr>
        <w:autoSpaceDE w:val="0"/>
        <w:autoSpaceDN w:val="0"/>
        <w:bidi w:val="0"/>
        <w:adjustRightInd w:val="0"/>
        <w:ind w:firstLine="567"/>
        <w:jc w:val="lowKashida"/>
        <w:rPr>
          <w:rFonts w:cs="Simplified Arabic"/>
        </w:rPr>
      </w:pPr>
      <w:r w:rsidRPr="00DE355B">
        <w:rPr>
          <w:rFonts w:cs="Simplified Arabic"/>
        </w:rPr>
        <w:lastRenderedPageBreak/>
        <w:t>The data obtained from this work involved significant increase (p&lt;0.0l) levels of T3 and T4 associated with significant decrease (P</w:t>
      </w:r>
      <w:r w:rsidRPr="00DE355B">
        <w:rPr>
          <w:rFonts w:cs="Simplified Arabic" w:hint="cs"/>
        </w:rPr>
        <w:t>&lt;</w:t>
      </w:r>
      <w:r w:rsidRPr="00DE355B">
        <w:rPr>
          <w:rFonts w:cs="Simplified Arabic"/>
        </w:rPr>
        <w:t>0.01) of TSH levels of both males and females in comparison with control subjects. From such interesting results, attention should be directed for the fact that excess production of T3 and T4 with low level of TSH. There are three explanations and reasons as we believe for such phenomenon. The source of these antibodies is immune competent plasma cells.</w:t>
      </w:r>
    </w:p>
    <w:p w:rsidR="00B01315" w:rsidRPr="00DE355B" w:rsidRDefault="00B01315" w:rsidP="00B01315">
      <w:pPr>
        <w:autoSpaceDE w:val="0"/>
        <w:autoSpaceDN w:val="0"/>
        <w:bidi w:val="0"/>
        <w:adjustRightInd w:val="0"/>
        <w:ind w:firstLine="567"/>
        <w:jc w:val="lowKashida"/>
      </w:pPr>
      <w:r w:rsidRPr="00DE355B">
        <w:rPr>
          <w:rFonts w:cs="Simplified Arabic"/>
        </w:rPr>
        <w:lastRenderedPageBreak/>
        <w:t xml:space="preserve"> The antibodies bind with TSHR to initiate and increase T3 and T4 synthesis and production regardless of decrease level of TSH by negative </w:t>
      </w:r>
      <w:proofErr w:type="spellStart"/>
      <w:r w:rsidRPr="00DE355B">
        <w:rPr>
          <w:rFonts w:cs="Simplified Arabic"/>
        </w:rPr>
        <w:t>feed back</w:t>
      </w:r>
      <w:proofErr w:type="spellEnd"/>
      <w:r w:rsidRPr="00DE355B">
        <w:rPr>
          <w:rFonts w:cs="Simplified Arabic"/>
        </w:rPr>
        <w:t xml:space="preserve"> mechanism which exerted by T3 and T4 on pituitary and hypothalamic axis by </w:t>
      </w:r>
      <w:proofErr w:type="spellStart"/>
      <w:r w:rsidRPr="00DE355B">
        <w:rPr>
          <w:rFonts w:cs="Simplified Arabic"/>
        </w:rPr>
        <w:t>Hollowell</w:t>
      </w:r>
      <w:proofErr w:type="spellEnd"/>
      <w:r w:rsidRPr="00DE355B">
        <w:rPr>
          <w:rFonts w:cs="Simplified Arabic"/>
        </w:rPr>
        <w:t xml:space="preserve"> </w:t>
      </w:r>
      <w:r w:rsidRPr="00DE355B">
        <w:rPr>
          <w:rFonts w:cs="Simplified Arabic"/>
          <w:i/>
          <w:iCs/>
        </w:rPr>
        <w:t>et al</w:t>
      </w:r>
      <w:r w:rsidRPr="00DE355B">
        <w:rPr>
          <w:rFonts w:cs="Simplified Arabic"/>
        </w:rPr>
        <w:t xml:space="preserve"> study</w:t>
      </w:r>
      <w:r w:rsidRPr="00DE355B">
        <w:rPr>
          <w:rFonts w:cs="Simplified Arabic"/>
          <w:vertAlign w:val="superscript"/>
        </w:rPr>
        <w:t xml:space="preserve"> (143)</w:t>
      </w:r>
      <w:r w:rsidRPr="00DE355B">
        <w:rPr>
          <w:rFonts w:cs="Simplified Arabic"/>
        </w:rPr>
        <w:t>.</w:t>
      </w:r>
      <w:r w:rsidRPr="00DE355B">
        <w:t xml:space="preserve"> </w:t>
      </w:r>
    </w:p>
    <w:p w:rsidR="00B01315" w:rsidRPr="00DE355B" w:rsidRDefault="00B01315" w:rsidP="00B01315">
      <w:pPr>
        <w:autoSpaceDE w:val="0"/>
        <w:autoSpaceDN w:val="0"/>
        <w:bidi w:val="0"/>
        <w:adjustRightInd w:val="0"/>
        <w:ind w:firstLine="567"/>
        <w:jc w:val="lowKashida"/>
      </w:pPr>
      <w:r w:rsidRPr="00DE355B">
        <w:t xml:space="preserve">The mean ±SD of </w:t>
      </w:r>
      <w:proofErr w:type="spellStart"/>
      <w:r w:rsidRPr="00DE355B">
        <w:t>TRAb</w:t>
      </w:r>
      <w:proofErr w:type="spellEnd"/>
      <w:r w:rsidRPr="00DE355B">
        <w:t xml:space="preserve"> U/L in patient and control are (</w:t>
      </w:r>
      <w:r w:rsidRPr="00DE355B">
        <w:rPr>
          <w:bCs/>
        </w:rPr>
        <w:t xml:space="preserve">9.81 </w:t>
      </w:r>
      <w:r w:rsidRPr="00DE355B">
        <w:t>±</w:t>
      </w:r>
      <w:r w:rsidRPr="00DE355B">
        <w:rPr>
          <w:b/>
        </w:rPr>
        <w:t xml:space="preserve"> </w:t>
      </w:r>
      <w:r w:rsidRPr="00DE355B">
        <w:rPr>
          <w:bCs/>
        </w:rPr>
        <w:t>12.18</w:t>
      </w:r>
      <w:r w:rsidRPr="00DE355B">
        <w:t>) and (</w:t>
      </w:r>
      <w:r w:rsidRPr="00DE355B">
        <w:rPr>
          <w:bCs/>
        </w:rPr>
        <w:t xml:space="preserve">1.30 </w:t>
      </w:r>
      <w:r w:rsidRPr="00DE355B">
        <w:t>±</w:t>
      </w:r>
      <w:r w:rsidRPr="00DE355B">
        <w:rPr>
          <w:bCs/>
        </w:rPr>
        <w:t xml:space="preserve"> 0.80</w:t>
      </w:r>
      <w:r w:rsidRPr="00DE355B">
        <w:t xml:space="preserve">), respectively.  The results show </w:t>
      </w:r>
      <w:proofErr w:type="spellStart"/>
      <w:r w:rsidRPr="00DE355B">
        <w:t>TRAb</w:t>
      </w:r>
      <w:proofErr w:type="spellEnd"/>
      <w:r w:rsidRPr="00DE355B">
        <w:t xml:space="preserve"> in patient increase significantly compared with control, (P&lt; 0.01) in figure (2).</w:t>
      </w:r>
    </w:p>
    <w:p w:rsidR="00B01315" w:rsidRDefault="00B01315" w:rsidP="00B01315">
      <w:pPr>
        <w:bidi w:val="0"/>
        <w:spacing w:line="360" w:lineRule="auto"/>
        <w:jc w:val="lowKashida"/>
        <w:rPr>
          <w:rFonts w:cs="Simplified Arabic"/>
          <w:sz w:val="28"/>
          <w:szCs w:val="28"/>
        </w:rPr>
        <w:sectPr w:rsidR="00B01315" w:rsidSect="00080AE1">
          <w:type w:val="continuous"/>
          <w:pgSz w:w="11906" w:h="16838"/>
          <w:pgMar w:top="851" w:right="1701" w:bottom="851" w:left="1701" w:header="709" w:footer="709" w:gutter="0"/>
          <w:pgNumType w:start="153"/>
          <w:cols w:num="2" w:space="709"/>
          <w:rtlGutter/>
          <w:docGrid w:linePitch="360"/>
        </w:sectPr>
      </w:pPr>
    </w:p>
    <w:p w:rsidR="00B01315" w:rsidRDefault="00B01315" w:rsidP="00B01315">
      <w:pPr>
        <w:bidi w:val="0"/>
        <w:spacing w:line="360" w:lineRule="auto"/>
        <w:jc w:val="lowKashida"/>
        <w:rPr>
          <w:rFonts w:cs="Simplified Arabic"/>
          <w:sz w:val="28"/>
          <w:szCs w:val="28"/>
        </w:rPr>
      </w:pPr>
    </w:p>
    <w:p w:rsidR="00B01315" w:rsidRPr="007F41EA" w:rsidRDefault="00B01315" w:rsidP="00B01315">
      <w:pPr>
        <w:bidi w:val="0"/>
        <w:spacing w:line="360" w:lineRule="auto"/>
        <w:ind w:firstLine="567"/>
        <w:jc w:val="lowKashida"/>
        <w:rPr>
          <w:rFonts w:cs="Simplified Arabic"/>
          <w:b/>
          <w:bCs/>
          <w:sz w:val="28"/>
          <w:szCs w:val="28"/>
        </w:rPr>
      </w:pPr>
    </w:p>
    <w:p w:rsidR="00B01315" w:rsidRDefault="00B01315" w:rsidP="00B01315">
      <w:pPr>
        <w:bidi w:val="0"/>
        <w:spacing w:line="360" w:lineRule="auto"/>
        <w:ind w:firstLine="567"/>
        <w:jc w:val="lowKashida"/>
        <w:rPr>
          <w:rFonts w:cs="Simplified Arabic"/>
          <w:sz w:val="28"/>
          <w:szCs w:val="28"/>
        </w:rPr>
      </w:pPr>
    </w:p>
    <w:p w:rsidR="00B01315" w:rsidRDefault="00B01315" w:rsidP="00B01315">
      <w:pPr>
        <w:bidi w:val="0"/>
        <w:spacing w:line="360" w:lineRule="auto"/>
        <w:ind w:firstLine="567"/>
        <w:jc w:val="lowKashida"/>
        <w:rPr>
          <w:rFonts w:cs="Simplified Arabic"/>
          <w:sz w:val="28"/>
          <w:szCs w:val="28"/>
        </w:rPr>
      </w:pPr>
      <w:r>
        <w:rPr>
          <w:rFonts w:cs="Simplified Arabic"/>
          <w:noProof/>
          <w:sz w:val="28"/>
          <w:szCs w:val="28"/>
        </w:rPr>
        <w:lastRenderedPageBreak/>
        <w:drawing>
          <wp:anchor distT="0" distB="0" distL="114300" distR="114300" simplePos="0" relativeHeight="251660288" behindDoc="1" locked="0" layoutInCell="1" allowOverlap="1">
            <wp:simplePos x="0" y="0"/>
            <wp:positionH relativeFrom="column">
              <wp:posOffset>66675</wp:posOffset>
            </wp:positionH>
            <wp:positionV relativeFrom="paragraph">
              <wp:posOffset>-75565</wp:posOffset>
            </wp:positionV>
            <wp:extent cx="5372100" cy="3883025"/>
            <wp:effectExtent l="0" t="0" r="0" b="0"/>
            <wp:wrapNone/>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72100" cy="3883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1315" w:rsidRDefault="00B01315" w:rsidP="00B01315">
      <w:pPr>
        <w:bidi w:val="0"/>
        <w:spacing w:line="360" w:lineRule="auto"/>
        <w:ind w:firstLine="567"/>
        <w:jc w:val="lowKashida"/>
        <w:rPr>
          <w:rFonts w:cs="Simplified Arabic"/>
          <w:sz w:val="28"/>
          <w:szCs w:val="28"/>
        </w:rPr>
      </w:pPr>
    </w:p>
    <w:p w:rsidR="00B01315" w:rsidRDefault="00B01315" w:rsidP="00B01315">
      <w:pPr>
        <w:bidi w:val="0"/>
        <w:spacing w:line="360" w:lineRule="auto"/>
        <w:ind w:firstLine="567"/>
        <w:jc w:val="lowKashida"/>
        <w:rPr>
          <w:rFonts w:cs="Simplified Arabic"/>
          <w:sz w:val="28"/>
          <w:szCs w:val="28"/>
        </w:rPr>
      </w:pPr>
    </w:p>
    <w:p w:rsidR="00B01315" w:rsidRDefault="00B01315" w:rsidP="00B01315">
      <w:pPr>
        <w:bidi w:val="0"/>
        <w:spacing w:line="360" w:lineRule="auto"/>
        <w:ind w:firstLine="567"/>
        <w:jc w:val="lowKashida"/>
        <w:rPr>
          <w:rFonts w:cs="Simplified Arabic"/>
          <w:sz w:val="28"/>
          <w:szCs w:val="28"/>
        </w:rPr>
      </w:pPr>
    </w:p>
    <w:p w:rsidR="00B01315" w:rsidRDefault="00B01315" w:rsidP="00B01315">
      <w:pPr>
        <w:bidi w:val="0"/>
        <w:spacing w:line="360" w:lineRule="auto"/>
        <w:ind w:firstLine="567"/>
        <w:jc w:val="lowKashida"/>
        <w:rPr>
          <w:rFonts w:cs="Simplified Arabic"/>
          <w:sz w:val="28"/>
          <w:szCs w:val="28"/>
        </w:rPr>
      </w:pPr>
    </w:p>
    <w:p w:rsidR="00B01315" w:rsidRDefault="00B01315" w:rsidP="00B01315">
      <w:pPr>
        <w:bidi w:val="0"/>
        <w:spacing w:line="360" w:lineRule="auto"/>
        <w:ind w:firstLine="567"/>
        <w:jc w:val="lowKashida"/>
        <w:rPr>
          <w:rFonts w:cs="Simplified Arabic"/>
          <w:sz w:val="28"/>
          <w:szCs w:val="28"/>
        </w:rPr>
      </w:pPr>
    </w:p>
    <w:p w:rsidR="00B01315" w:rsidRDefault="00B01315" w:rsidP="00B01315">
      <w:pPr>
        <w:bidi w:val="0"/>
        <w:spacing w:line="360" w:lineRule="auto"/>
        <w:ind w:firstLine="567"/>
        <w:jc w:val="lowKashida"/>
        <w:rPr>
          <w:rFonts w:cs="Simplified Arabic"/>
          <w:sz w:val="28"/>
          <w:szCs w:val="28"/>
        </w:rPr>
      </w:pPr>
    </w:p>
    <w:p w:rsidR="00B01315" w:rsidRDefault="00B01315" w:rsidP="00B01315">
      <w:pPr>
        <w:bidi w:val="0"/>
        <w:spacing w:line="360" w:lineRule="auto"/>
        <w:jc w:val="lowKashida"/>
        <w:rPr>
          <w:rFonts w:cs="Simplified Arabic"/>
          <w:sz w:val="28"/>
          <w:szCs w:val="28"/>
        </w:rPr>
      </w:pPr>
      <w:r w:rsidRPr="00822219">
        <w:rPr>
          <w:rFonts w:cs="Simplified Arabic"/>
          <w:sz w:val="28"/>
          <w:szCs w:val="28"/>
        </w:rPr>
        <w:t xml:space="preserve"> </w:t>
      </w:r>
    </w:p>
    <w:p w:rsidR="00B01315" w:rsidRDefault="00B01315" w:rsidP="00B01315">
      <w:pPr>
        <w:autoSpaceDE w:val="0"/>
        <w:autoSpaceDN w:val="0"/>
        <w:bidi w:val="0"/>
        <w:adjustRightInd w:val="0"/>
        <w:spacing w:line="360" w:lineRule="auto"/>
        <w:jc w:val="center"/>
        <w:rPr>
          <w:b/>
          <w:bCs/>
          <w:color w:val="333333"/>
          <w:u w:val="single"/>
        </w:rPr>
      </w:pPr>
    </w:p>
    <w:p w:rsidR="00B01315" w:rsidRDefault="00B01315" w:rsidP="00B01315">
      <w:pPr>
        <w:autoSpaceDE w:val="0"/>
        <w:autoSpaceDN w:val="0"/>
        <w:bidi w:val="0"/>
        <w:adjustRightInd w:val="0"/>
        <w:spacing w:line="360" w:lineRule="auto"/>
        <w:jc w:val="center"/>
        <w:rPr>
          <w:b/>
          <w:bCs/>
          <w:color w:val="333333"/>
          <w:u w:val="single"/>
        </w:rPr>
      </w:pPr>
    </w:p>
    <w:p w:rsidR="00B01315" w:rsidRDefault="00B01315" w:rsidP="00B01315">
      <w:pPr>
        <w:autoSpaceDE w:val="0"/>
        <w:autoSpaceDN w:val="0"/>
        <w:bidi w:val="0"/>
        <w:adjustRightInd w:val="0"/>
        <w:spacing w:line="360" w:lineRule="auto"/>
        <w:jc w:val="center"/>
        <w:rPr>
          <w:b/>
          <w:bCs/>
          <w:color w:val="333333"/>
          <w:u w:val="single"/>
        </w:rPr>
      </w:pPr>
    </w:p>
    <w:p w:rsidR="00B01315" w:rsidRPr="00836DFC" w:rsidRDefault="00B01315" w:rsidP="00B01315">
      <w:pPr>
        <w:autoSpaceDE w:val="0"/>
        <w:autoSpaceDN w:val="0"/>
        <w:bidi w:val="0"/>
        <w:adjustRightInd w:val="0"/>
        <w:spacing w:line="360" w:lineRule="auto"/>
        <w:jc w:val="center"/>
        <w:rPr>
          <w:b/>
          <w:bCs/>
        </w:rPr>
      </w:pPr>
      <w:r>
        <w:rPr>
          <w:b/>
          <w:bCs/>
          <w:color w:val="333333"/>
          <w:u w:val="single"/>
        </w:rPr>
        <w:t xml:space="preserve">Figure </w:t>
      </w:r>
      <w:r w:rsidRPr="00DE355B">
        <w:rPr>
          <w:b/>
          <w:bCs/>
          <w:color w:val="333333"/>
          <w:u w:val="single"/>
        </w:rPr>
        <w:t>2</w:t>
      </w:r>
      <w:r w:rsidRPr="00836DFC">
        <w:rPr>
          <w:b/>
          <w:bCs/>
          <w:color w:val="333333"/>
        </w:rPr>
        <w:t xml:space="preserve"> </w:t>
      </w:r>
      <w:r w:rsidRPr="00DE355B">
        <w:rPr>
          <w:color w:val="333333"/>
        </w:rPr>
        <w:t xml:space="preserve">Mean of </w:t>
      </w:r>
      <w:proofErr w:type="spellStart"/>
      <w:r w:rsidRPr="00DE355B">
        <w:rPr>
          <w:color w:val="333333"/>
        </w:rPr>
        <w:t>TRAb</w:t>
      </w:r>
      <w:proofErr w:type="spellEnd"/>
      <w:r w:rsidRPr="00DE355B">
        <w:rPr>
          <w:color w:val="333333"/>
        </w:rPr>
        <w:t xml:space="preserve"> concentration in sera of pat</w:t>
      </w:r>
      <w:r w:rsidRPr="00DE355B">
        <w:t>ient and control groups.</w:t>
      </w:r>
    </w:p>
    <w:p w:rsidR="00B01315" w:rsidRPr="00DE355B" w:rsidRDefault="00B01315" w:rsidP="00B01315">
      <w:pPr>
        <w:bidi w:val="0"/>
        <w:ind w:firstLine="567"/>
        <w:jc w:val="lowKashida"/>
        <w:rPr>
          <w:rFonts w:cs="Simplified Arabic"/>
        </w:rPr>
      </w:pPr>
    </w:p>
    <w:p w:rsidR="00B01315" w:rsidRDefault="00B01315" w:rsidP="00B01315">
      <w:pPr>
        <w:bidi w:val="0"/>
        <w:ind w:firstLine="567"/>
        <w:jc w:val="lowKashida"/>
        <w:rPr>
          <w:rFonts w:cs="Simplified Arabic"/>
        </w:rPr>
        <w:sectPr w:rsidR="00B01315" w:rsidSect="00080AE1">
          <w:type w:val="continuous"/>
          <w:pgSz w:w="11906" w:h="16838"/>
          <w:pgMar w:top="851" w:right="1701" w:bottom="851" w:left="1701" w:header="709" w:footer="709" w:gutter="0"/>
          <w:pgNumType w:start="156"/>
          <w:cols w:space="708"/>
          <w:bidi/>
          <w:rtlGutter/>
          <w:docGrid w:linePitch="360"/>
        </w:sectPr>
      </w:pPr>
    </w:p>
    <w:p w:rsidR="00B01315" w:rsidRPr="00DE355B" w:rsidRDefault="00B01315" w:rsidP="00B01315">
      <w:pPr>
        <w:bidi w:val="0"/>
        <w:ind w:firstLine="567"/>
        <w:jc w:val="lowKashida"/>
        <w:rPr>
          <w:rFonts w:cs="Simplified Arabic"/>
        </w:rPr>
      </w:pPr>
      <w:r w:rsidRPr="00DE355B">
        <w:rPr>
          <w:rFonts w:cs="Simplified Arabic"/>
        </w:rPr>
        <w:lastRenderedPageBreak/>
        <w:t xml:space="preserve">The present study involves the effects of </w:t>
      </w:r>
      <w:proofErr w:type="spellStart"/>
      <w:r w:rsidRPr="00DE355B">
        <w:rPr>
          <w:rFonts w:cs="Simplified Arabic"/>
        </w:rPr>
        <w:t>TRAb</w:t>
      </w:r>
      <w:proofErr w:type="spellEnd"/>
      <w:r w:rsidRPr="00DE355B">
        <w:rPr>
          <w:rFonts w:cs="Simplified Arabic"/>
        </w:rPr>
        <w:t xml:space="preserve"> in these groups, which are  presented in table (2).</w:t>
      </w:r>
    </w:p>
    <w:p w:rsidR="00B01315" w:rsidRDefault="00B01315" w:rsidP="00B01315">
      <w:pPr>
        <w:bidi w:val="0"/>
        <w:rPr>
          <w:rFonts w:cs="Simplified Arabic"/>
          <w:b/>
          <w:bCs/>
        </w:rPr>
        <w:sectPr w:rsidR="00B01315" w:rsidSect="001D5D44">
          <w:type w:val="continuous"/>
          <w:pgSz w:w="11906" w:h="16838"/>
          <w:pgMar w:top="851" w:right="1701" w:bottom="851" w:left="1701" w:header="709" w:footer="709" w:gutter="0"/>
          <w:pgNumType w:start="153"/>
          <w:cols w:space="709"/>
          <w:rtlGutter/>
          <w:docGrid w:linePitch="360"/>
        </w:sectPr>
      </w:pPr>
    </w:p>
    <w:p w:rsidR="00B01315" w:rsidRPr="00DE355B" w:rsidRDefault="00B01315" w:rsidP="00B01315">
      <w:pPr>
        <w:bidi w:val="0"/>
        <w:rPr>
          <w:rFonts w:cs="Simplified Arabic"/>
          <w:b/>
          <w:bCs/>
        </w:rPr>
      </w:pPr>
    </w:p>
    <w:p w:rsidR="00B01315" w:rsidRPr="00DE355B" w:rsidRDefault="00B01315" w:rsidP="00B01315">
      <w:pPr>
        <w:bidi w:val="0"/>
        <w:rPr>
          <w:rFonts w:cs="Simplified Arabic"/>
          <w:b/>
          <w:bCs/>
        </w:rPr>
      </w:pPr>
      <w:r w:rsidRPr="00DE355B">
        <w:rPr>
          <w:rFonts w:cs="Simplified Arabic"/>
          <w:b/>
          <w:bCs/>
          <w:u w:val="single"/>
        </w:rPr>
        <w:t>Table 2</w:t>
      </w:r>
      <w:r w:rsidRPr="00DE355B">
        <w:rPr>
          <w:rFonts w:cs="Simplified Arabic"/>
          <w:b/>
          <w:bCs/>
        </w:rPr>
        <w:t xml:space="preserve"> </w:t>
      </w:r>
      <w:r w:rsidRPr="00DE355B">
        <w:rPr>
          <w:rFonts w:cs="Simplified Arabic"/>
        </w:rPr>
        <w:t xml:space="preserve">The effects of </w:t>
      </w:r>
      <w:proofErr w:type="spellStart"/>
      <w:r w:rsidRPr="00DE355B">
        <w:rPr>
          <w:rFonts w:cs="Simplified Arabic"/>
        </w:rPr>
        <w:t>TRAb</w:t>
      </w:r>
      <w:proofErr w:type="spellEnd"/>
      <w:r w:rsidRPr="00DE355B">
        <w:rPr>
          <w:rFonts w:cs="Simplified Arabic"/>
        </w:rPr>
        <w:t xml:space="preserve"> upon three groups for hyperthyroidism.</w:t>
      </w:r>
    </w:p>
    <w:p w:rsidR="00B01315" w:rsidRPr="00DE355B" w:rsidRDefault="00B01315" w:rsidP="00B01315">
      <w:pPr>
        <w:bidi w:val="0"/>
        <w:rPr>
          <w:rFonts w:cs="Simplified Arabic"/>
          <w:b/>
          <w:bCs/>
        </w:rPr>
      </w:pPr>
    </w:p>
    <w:tbl>
      <w:tblPr>
        <w:tblW w:w="8256" w:type="dxa"/>
        <w:tblInd w:w="108" w:type="dxa"/>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1E0" w:firstRow="1" w:lastRow="1" w:firstColumn="1" w:lastColumn="1" w:noHBand="0" w:noVBand="0"/>
      </w:tblPr>
      <w:tblGrid>
        <w:gridCol w:w="2086"/>
        <w:gridCol w:w="1684"/>
        <w:gridCol w:w="1933"/>
        <w:gridCol w:w="1259"/>
        <w:gridCol w:w="1294"/>
      </w:tblGrid>
      <w:tr w:rsidR="00B01315" w:rsidRPr="00080AE1" w:rsidTr="0056038E">
        <w:trPr>
          <w:trHeight w:val="510"/>
        </w:trPr>
        <w:tc>
          <w:tcPr>
            <w:tcW w:w="2086" w:type="dxa"/>
            <w:shd w:val="clear" w:color="auto" w:fill="CCCCCC"/>
          </w:tcPr>
          <w:p w:rsidR="00B01315" w:rsidRPr="00080AE1" w:rsidRDefault="00B01315" w:rsidP="0056038E">
            <w:pPr>
              <w:bidi w:val="0"/>
              <w:spacing w:line="360" w:lineRule="auto"/>
              <w:jc w:val="center"/>
              <w:rPr>
                <w:b/>
              </w:rPr>
            </w:pPr>
            <w:r w:rsidRPr="00080AE1">
              <w:rPr>
                <w:b/>
              </w:rPr>
              <w:t>Parameters</w:t>
            </w:r>
          </w:p>
        </w:tc>
        <w:tc>
          <w:tcPr>
            <w:tcW w:w="1684" w:type="dxa"/>
            <w:shd w:val="clear" w:color="auto" w:fill="CCCCCC"/>
          </w:tcPr>
          <w:p w:rsidR="00B01315" w:rsidRPr="00080AE1" w:rsidRDefault="00B01315" w:rsidP="0056038E">
            <w:pPr>
              <w:bidi w:val="0"/>
              <w:spacing w:line="360" w:lineRule="auto"/>
              <w:jc w:val="center"/>
              <w:rPr>
                <w:b/>
              </w:rPr>
            </w:pPr>
            <w:r w:rsidRPr="00080AE1">
              <w:rPr>
                <w:b/>
              </w:rPr>
              <w:t>Group III</w:t>
            </w:r>
          </w:p>
        </w:tc>
        <w:tc>
          <w:tcPr>
            <w:tcW w:w="1933" w:type="dxa"/>
            <w:shd w:val="clear" w:color="auto" w:fill="CCCCCC"/>
          </w:tcPr>
          <w:p w:rsidR="00B01315" w:rsidRPr="00080AE1" w:rsidRDefault="00B01315" w:rsidP="0056038E">
            <w:pPr>
              <w:bidi w:val="0"/>
              <w:spacing w:line="360" w:lineRule="auto"/>
              <w:jc w:val="center"/>
              <w:rPr>
                <w:b/>
              </w:rPr>
            </w:pPr>
            <w:r w:rsidRPr="00080AE1">
              <w:rPr>
                <w:b/>
              </w:rPr>
              <w:t>Group II</w:t>
            </w:r>
          </w:p>
        </w:tc>
        <w:tc>
          <w:tcPr>
            <w:tcW w:w="1259" w:type="dxa"/>
            <w:shd w:val="clear" w:color="auto" w:fill="CCCCCC"/>
          </w:tcPr>
          <w:p w:rsidR="00B01315" w:rsidRPr="00080AE1" w:rsidRDefault="00B01315" w:rsidP="0056038E">
            <w:pPr>
              <w:bidi w:val="0"/>
              <w:spacing w:line="360" w:lineRule="auto"/>
              <w:jc w:val="center"/>
              <w:rPr>
                <w:b/>
              </w:rPr>
            </w:pPr>
            <w:r w:rsidRPr="00080AE1">
              <w:rPr>
                <w:b/>
              </w:rPr>
              <w:t>Group I</w:t>
            </w:r>
          </w:p>
        </w:tc>
        <w:tc>
          <w:tcPr>
            <w:tcW w:w="1294" w:type="dxa"/>
            <w:shd w:val="clear" w:color="auto" w:fill="CCCCCC"/>
          </w:tcPr>
          <w:p w:rsidR="00B01315" w:rsidRPr="00080AE1" w:rsidRDefault="00B01315" w:rsidP="0056038E">
            <w:pPr>
              <w:bidi w:val="0"/>
              <w:spacing w:line="360" w:lineRule="auto"/>
              <w:jc w:val="center"/>
              <w:rPr>
                <w:b/>
              </w:rPr>
            </w:pPr>
            <w:r w:rsidRPr="00080AE1">
              <w:rPr>
                <w:b/>
              </w:rPr>
              <w:t>Control</w:t>
            </w:r>
          </w:p>
        </w:tc>
      </w:tr>
      <w:tr w:rsidR="00B01315" w:rsidRPr="00080AE1" w:rsidTr="0056038E">
        <w:trPr>
          <w:trHeight w:val="454"/>
        </w:trPr>
        <w:tc>
          <w:tcPr>
            <w:tcW w:w="2086" w:type="dxa"/>
            <w:shd w:val="clear" w:color="auto" w:fill="CCCCCC"/>
          </w:tcPr>
          <w:p w:rsidR="00B01315" w:rsidRPr="00080AE1" w:rsidRDefault="00B01315" w:rsidP="0056038E">
            <w:pPr>
              <w:bidi w:val="0"/>
              <w:spacing w:line="360" w:lineRule="auto"/>
              <w:jc w:val="center"/>
              <w:rPr>
                <w:b/>
              </w:rPr>
            </w:pPr>
            <w:r w:rsidRPr="00080AE1">
              <w:rPr>
                <w:b/>
              </w:rPr>
              <w:t>Control</w:t>
            </w:r>
          </w:p>
        </w:tc>
        <w:tc>
          <w:tcPr>
            <w:tcW w:w="1684" w:type="dxa"/>
          </w:tcPr>
          <w:p w:rsidR="00B01315" w:rsidRPr="00080AE1" w:rsidRDefault="00B01315" w:rsidP="0056038E">
            <w:pPr>
              <w:bidi w:val="0"/>
              <w:spacing w:line="360" w:lineRule="auto"/>
              <w:jc w:val="center"/>
              <w:rPr>
                <w:bCs/>
              </w:rPr>
            </w:pPr>
            <w:r w:rsidRPr="00080AE1">
              <w:rPr>
                <w:b/>
              </w:rPr>
              <w:t>**</w:t>
            </w:r>
          </w:p>
        </w:tc>
        <w:tc>
          <w:tcPr>
            <w:tcW w:w="1933" w:type="dxa"/>
          </w:tcPr>
          <w:p w:rsidR="00B01315" w:rsidRPr="00080AE1" w:rsidRDefault="00B01315" w:rsidP="0056038E">
            <w:pPr>
              <w:bidi w:val="0"/>
              <w:spacing w:line="360" w:lineRule="auto"/>
              <w:jc w:val="center"/>
              <w:rPr>
                <w:bCs/>
              </w:rPr>
            </w:pPr>
            <w:r w:rsidRPr="00080AE1">
              <w:rPr>
                <w:b/>
              </w:rPr>
              <w:t>*</w:t>
            </w:r>
          </w:p>
        </w:tc>
        <w:tc>
          <w:tcPr>
            <w:tcW w:w="1259" w:type="dxa"/>
          </w:tcPr>
          <w:p w:rsidR="00B01315" w:rsidRPr="00080AE1" w:rsidRDefault="00B01315" w:rsidP="0056038E">
            <w:pPr>
              <w:bidi w:val="0"/>
              <w:spacing w:line="360" w:lineRule="auto"/>
              <w:jc w:val="center"/>
              <w:rPr>
                <w:b/>
              </w:rPr>
            </w:pPr>
            <w:r w:rsidRPr="00080AE1">
              <w:rPr>
                <w:bCs/>
              </w:rPr>
              <w:t>NS</w:t>
            </w:r>
          </w:p>
        </w:tc>
        <w:tc>
          <w:tcPr>
            <w:tcW w:w="1294" w:type="dxa"/>
          </w:tcPr>
          <w:p w:rsidR="00B01315" w:rsidRPr="00080AE1" w:rsidRDefault="00B01315" w:rsidP="0056038E">
            <w:pPr>
              <w:bidi w:val="0"/>
              <w:spacing w:line="360" w:lineRule="auto"/>
              <w:jc w:val="center"/>
              <w:rPr>
                <w:bCs/>
              </w:rPr>
            </w:pPr>
            <w:r w:rsidRPr="00080AE1">
              <w:rPr>
                <w:bCs/>
              </w:rPr>
              <w:t>-------</w:t>
            </w:r>
          </w:p>
        </w:tc>
      </w:tr>
      <w:tr w:rsidR="00B01315" w:rsidRPr="00080AE1" w:rsidTr="0056038E">
        <w:trPr>
          <w:trHeight w:val="427"/>
        </w:trPr>
        <w:tc>
          <w:tcPr>
            <w:tcW w:w="2086" w:type="dxa"/>
            <w:shd w:val="clear" w:color="auto" w:fill="CCCCCC"/>
          </w:tcPr>
          <w:p w:rsidR="00B01315" w:rsidRPr="00080AE1" w:rsidRDefault="00B01315" w:rsidP="0056038E">
            <w:pPr>
              <w:bidi w:val="0"/>
              <w:spacing w:line="360" w:lineRule="auto"/>
              <w:jc w:val="center"/>
              <w:rPr>
                <w:b/>
              </w:rPr>
            </w:pPr>
            <w:r w:rsidRPr="00080AE1">
              <w:rPr>
                <w:b/>
              </w:rPr>
              <w:t>Group I</w:t>
            </w:r>
          </w:p>
        </w:tc>
        <w:tc>
          <w:tcPr>
            <w:tcW w:w="1684" w:type="dxa"/>
          </w:tcPr>
          <w:p w:rsidR="00B01315" w:rsidRPr="00080AE1" w:rsidRDefault="00B01315" w:rsidP="0056038E">
            <w:pPr>
              <w:bidi w:val="0"/>
              <w:spacing w:line="360" w:lineRule="auto"/>
              <w:jc w:val="center"/>
              <w:rPr>
                <w:bCs/>
              </w:rPr>
            </w:pPr>
            <w:r w:rsidRPr="00080AE1">
              <w:rPr>
                <w:b/>
              </w:rPr>
              <w:t>**</w:t>
            </w:r>
          </w:p>
        </w:tc>
        <w:tc>
          <w:tcPr>
            <w:tcW w:w="1933" w:type="dxa"/>
          </w:tcPr>
          <w:p w:rsidR="00B01315" w:rsidRPr="00080AE1" w:rsidRDefault="00B01315" w:rsidP="0056038E">
            <w:pPr>
              <w:bidi w:val="0"/>
              <w:spacing w:line="360" w:lineRule="auto"/>
              <w:jc w:val="center"/>
              <w:rPr>
                <w:bCs/>
              </w:rPr>
            </w:pPr>
            <w:r w:rsidRPr="00080AE1">
              <w:rPr>
                <w:bCs/>
              </w:rPr>
              <w:t>NS</w:t>
            </w:r>
          </w:p>
        </w:tc>
        <w:tc>
          <w:tcPr>
            <w:tcW w:w="1259" w:type="dxa"/>
          </w:tcPr>
          <w:p w:rsidR="00B01315" w:rsidRPr="00080AE1" w:rsidRDefault="00B01315" w:rsidP="0056038E">
            <w:pPr>
              <w:bidi w:val="0"/>
              <w:spacing w:line="360" w:lineRule="auto"/>
              <w:jc w:val="center"/>
              <w:rPr>
                <w:bCs/>
              </w:rPr>
            </w:pPr>
            <w:r w:rsidRPr="00080AE1">
              <w:rPr>
                <w:bCs/>
              </w:rPr>
              <w:t>--------</w:t>
            </w:r>
          </w:p>
        </w:tc>
        <w:tc>
          <w:tcPr>
            <w:tcW w:w="1294" w:type="dxa"/>
          </w:tcPr>
          <w:p w:rsidR="00B01315" w:rsidRPr="00080AE1" w:rsidRDefault="00B01315" w:rsidP="0056038E">
            <w:pPr>
              <w:bidi w:val="0"/>
              <w:spacing w:line="360" w:lineRule="auto"/>
              <w:jc w:val="center"/>
              <w:rPr>
                <w:bCs/>
              </w:rPr>
            </w:pPr>
            <w:r w:rsidRPr="00080AE1">
              <w:rPr>
                <w:bCs/>
              </w:rPr>
              <w:t>NS</w:t>
            </w:r>
          </w:p>
        </w:tc>
      </w:tr>
      <w:tr w:rsidR="00B01315" w:rsidRPr="00080AE1" w:rsidTr="0056038E">
        <w:trPr>
          <w:trHeight w:val="419"/>
        </w:trPr>
        <w:tc>
          <w:tcPr>
            <w:tcW w:w="2086" w:type="dxa"/>
            <w:shd w:val="clear" w:color="auto" w:fill="CCCCCC"/>
          </w:tcPr>
          <w:p w:rsidR="00B01315" w:rsidRPr="00080AE1" w:rsidRDefault="00B01315" w:rsidP="0056038E">
            <w:pPr>
              <w:bidi w:val="0"/>
              <w:spacing w:line="360" w:lineRule="auto"/>
              <w:jc w:val="center"/>
              <w:rPr>
                <w:b/>
              </w:rPr>
            </w:pPr>
            <w:r w:rsidRPr="00080AE1">
              <w:rPr>
                <w:b/>
              </w:rPr>
              <w:t>Group II</w:t>
            </w:r>
          </w:p>
        </w:tc>
        <w:tc>
          <w:tcPr>
            <w:tcW w:w="1684" w:type="dxa"/>
          </w:tcPr>
          <w:p w:rsidR="00B01315" w:rsidRPr="00080AE1" w:rsidRDefault="00B01315" w:rsidP="0056038E">
            <w:pPr>
              <w:bidi w:val="0"/>
              <w:spacing w:line="360" w:lineRule="auto"/>
              <w:jc w:val="center"/>
              <w:rPr>
                <w:bCs/>
              </w:rPr>
            </w:pPr>
            <w:r w:rsidRPr="00080AE1">
              <w:rPr>
                <w:b/>
              </w:rPr>
              <w:t>**</w:t>
            </w:r>
          </w:p>
        </w:tc>
        <w:tc>
          <w:tcPr>
            <w:tcW w:w="1933" w:type="dxa"/>
          </w:tcPr>
          <w:p w:rsidR="00B01315" w:rsidRPr="00080AE1" w:rsidRDefault="00B01315" w:rsidP="0056038E">
            <w:pPr>
              <w:bidi w:val="0"/>
              <w:spacing w:line="360" w:lineRule="auto"/>
              <w:jc w:val="center"/>
              <w:rPr>
                <w:bCs/>
              </w:rPr>
            </w:pPr>
            <w:r w:rsidRPr="00080AE1">
              <w:rPr>
                <w:bCs/>
              </w:rPr>
              <w:t>-------</w:t>
            </w:r>
          </w:p>
        </w:tc>
        <w:tc>
          <w:tcPr>
            <w:tcW w:w="1259" w:type="dxa"/>
          </w:tcPr>
          <w:p w:rsidR="00B01315" w:rsidRPr="00080AE1" w:rsidRDefault="00B01315" w:rsidP="0056038E">
            <w:pPr>
              <w:bidi w:val="0"/>
              <w:spacing w:line="360" w:lineRule="auto"/>
              <w:jc w:val="center"/>
              <w:rPr>
                <w:bCs/>
              </w:rPr>
            </w:pPr>
            <w:r w:rsidRPr="00080AE1">
              <w:rPr>
                <w:b/>
              </w:rPr>
              <w:t>*</w:t>
            </w:r>
          </w:p>
        </w:tc>
        <w:tc>
          <w:tcPr>
            <w:tcW w:w="1294" w:type="dxa"/>
          </w:tcPr>
          <w:p w:rsidR="00B01315" w:rsidRPr="00080AE1" w:rsidRDefault="00B01315" w:rsidP="0056038E">
            <w:pPr>
              <w:bidi w:val="0"/>
              <w:spacing w:line="360" w:lineRule="auto"/>
              <w:jc w:val="center"/>
              <w:rPr>
                <w:bCs/>
              </w:rPr>
            </w:pPr>
            <w:r w:rsidRPr="00080AE1">
              <w:rPr>
                <w:b/>
              </w:rPr>
              <w:t>*</w:t>
            </w:r>
          </w:p>
        </w:tc>
      </w:tr>
      <w:tr w:rsidR="00B01315" w:rsidRPr="00080AE1" w:rsidTr="0056038E">
        <w:trPr>
          <w:trHeight w:val="510"/>
        </w:trPr>
        <w:tc>
          <w:tcPr>
            <w:tcW w:w="2086" w:type="dxa"/>
            <w:shd w:val="clear" w:color="auto" w:fill="CCCCCC"/>
          </w:tcPr>
          <w:p w:rsidR="00B01315" w:rsidRPr="00080AE1" w:rsidRDefault="00B01315" w:rsidP="0056038E">
            <w:pPr>
              <w:bidi w:val="0"/>
              <w:spacing w:line="360" w:lineRule="auto"/>
              <w:jc w:val="center"/>
              <w:rPr>
                <w:b/>
              </w:rPr>
            </w:pPr>
            <w:r w:rsidRPr="00080AE1">
              <w:rPr>
                <w:b/>
              </w:rPr>
              <w:t>Group III</w:t>
            </w:r>
          </w:p>
        </w:tc>
        <w:tc>
          <w:tcPr>
            <w:tcW w:w="1684" w:type="dxa"/>
          </w:tcPr>
          <w:p w:rsidR="00B01315" w:rsidRPr="00080AE1" w:rsidRDefault="00B01315" w:rsidP="0056038E">
            <w:pPr>
              <w:bidi w:val="0"/>
              <w:spacing w:line="360" w:lineRule="auto"/>
              <w:jc w:val="center"/>
              <w:rPr>
                <w:bCs/>
              </w:rPr>
            </w:pPr>
            <w:r w:rsidRPr="00080AE1">
              <w:rPr>
                <w:bCs/>
              </w:rPr>
              <w:t>--------</w:t>
            </w:r>
          </w:p>
        </w:tc>
        <w:tc>
          <w:tcPr>
            <w:tcW w:w="1933" w:type="dxa"/>
          </w:tcPr>
          <w:p w:rsidR="00B01315" w:rsidRPr="00080AE1" w:rsidRDefault="00B01315" w:rsidP="0056038E">
            <w:pPr>
              <w:bidi w:val="0"/>
              <w:spacing w:line="360" w:lineRule="auto"/>
              <w:jc w:val="center"/>
              <w:rPr>
                <w:bCs/>
              </w:rPr>
            </w:pPr>
            <w:r w:rsidRPr="00080AE1">
              <w:rPr>
                <w:b/>
              </w:rPr>
              <w:t>**</w:t>
            </w:r>
          </w:p>
        </w:tc>
        <w:tc>
          <w:tcPr>
            <w:tcW w:w="1259" w:type="dxa"/>
          </w:tcPr>
          <w:p w:rsidR="00B01315" w:rsidRPr="00080AE1" w:rsidRDefault="00B01315" w:rsidP="0056038E">
            <w:pPr>
              <w:bidi w:val="0"/>
              <w:spacing w:line="360" w:lineRule="auto"/>
              <w:jc w:val="center"/>
              <w:rPr>
                <w:bCs/>
              </w:rPr>
            </w:pPr>
            <w:r w:rsidRPr="00080AE1">
              <w:rPr>
                <w:b/>
              </w:rPr>
              <w:t>**</w:t>
            </w:r>
          </w:p>
        </w:tc>
        <w:tc>
          <w:tcPr>
            <w:tcW w:w="1294" w:type="dxa"/>
          </w:tcPr>
          <w:p w:rsidR="00B01315" w:rsidRPr="00080AE1" w:rsidRDefault="00B01315" w:rsidP="0056038E">
            <w:pPr>
              <w:bidi w:val="0"/>
              <w:spacing w:line="360" w:lineRule="auto"/>
              <w:jc w:val="center"/>
              <w:rPr>
                <w:bCs/>
              </w:rPr>
            </w:pPr>
            <w:r w:rsidRPr="00080AE1">
              <w:rPr>
                <w:b/>
              </w:rPr>
              <w:t>**</w:t>
            </w:r>
          </w:p>
        </w:tc>
      </w:tr>
    </w:tbl>
    <w:p w:rsidR="00B01315" w:rsidRPr="00EB2E46" w:rsidRDefault="00B01315" w:rsidP="00B01315">
      <w:pPr>
        <w:bidi w:val="0"/>
        <w:jc w:val="lowKashida"/>
        <w:rPr>
          <w:rFonts w:cs="Simplified Arabic"/>
          <w:b/>
          <w:bCs/>
        </w:rPr>
      </w:pPr>
      <w:r w:rsidRPr="00EB2E46">
        <w:rPr>
          <w:rFonts w:cs="Simplified Arabic"/>
          <w:b/>
          <w:bCs/>
        </w:rPr>
        <w:t xml:space="preserve">Group I = toxic nodule, Group II= nodular toxic, Croup III= diffuse </w:t>
      </w:r>
      <w:proofErr w:type="spellStart"/>
      <w:r w:rsidRPr="00EB2E46">
        <w:rPr>
          <w:rFonts w:cs="Simplified Arabic"/>
          <w:b/>
          <w:bCs/>
        </w:rPr>
        <w:t>goitre</w:t>
      </w:r>
      <w:proofErr w:type="spellEnd"/>
    </w:p>
    <w:p w:rsidR="00B01315" w:rsidRPr="00EB2E46" w:rsidRDefault="00B01315" w:rsidP="00B01315">
      <w:pPr>
        <w:bidi w:val="0"/>
        <w:jc w:val="lowKashida"/>
        <w:rPr>
          <w:rFonts w:cs="Simplified Arabic"/>
          <w:b/>
          <w:bCs/>
        </w:rPr>
      </w:pPr>
      <w:r w:rsidRPr="00EB2E46">
        <w:rPr>
          <w:rFonts w:cs="Simplified Arabic"/>
          <w:b/>
          <w:bCs/>
        </w:rPr>
        <w:t>**:  the difference is highly significant at p=0.01.</w:t>
      </w:r>
    </w:p>
    <w:p w:rsidR="00B01315" w:rsidRPr="00EB2E46" w:rsidRDefault="00B01315" w:rsidP="00B01315">
      <w:pPr>
        <w:bidi w:val="0"/>
        <w:jc w:val="lowKashida"/>
        <w:rPr>
          <w:rFonts w:cs="Simplified Arabic"/>
          <w:b/>
          <w:bCs/>
        </w:rPr>
      </w:pPr>
      <w:r w:rsidRPr="00EB2E46">
        <w:rPr>
          <w:rFonts w:cs="Simplified Arabic"/>
          <w:b/>
          <w:bCs/>
        </w:rPr>
        <w:t>*: the difference is significant at p=0.05.</w:t>
      </w:r>
    </w:p>
    <w:p w:rsidR="00B01315" w:rsidRDefault="00B01315" w:rsidP="00B01315">
      <w:pPr>
        <w:bidi w:val="0"/>
        <w:jc w:val="lowKashida"/>
        <w:rPr>
          <w:rFonts w:cs="Simplified Arabic"/>
          <w:b/>
          <w:bCs/>
        </w:rPr>
      </w:pPr>
      <w:r w:rsidRPr="00EB2E46">
        <w:rPr>
          <w:rFonts w:cs="Simplified Arabic"/>
          <w:b/>
          <w:bCs/>
        </w:rPr>
        <w:t>NS: Non significant at p=0.05.</w:t>
      </w:r>
    </w:p>
    <w:p w:rsidR="00B01315" w:rsidRDefault="00B01315" w:rsidP="00B01315">
      <w:pPr>
        <w:bidi w:val="0"/>
        <w:ind w:firstLine="567"/>
        <w:jc w:val="lowKashida"/>
        <w:rPr>
          <w:rFonts w:cs="Simplified Arabic"/>
        </w:rPr>
        <w:sectPr w:rsidR="00B01315" w:rsidSect="00DE355B">
          <w:type w:val="continuous"/>
          <w:pgSz w:w="11906" w:h="16838"/>
          <w:pgMar w:top="851" w:right="1701" w:bottom="851" w:left="1701" w:header="709" w:footer="709" w:gutter="0"/>
          <w:pgNumType w:start="153"/>
          <w:cols w:space="708"/>
          <w:bidi/>
          <w:rtlGutter/>
          <w:docGrid w:linePitch="360"/>
        </w:sectPr>
      </w:pPr>
    </w:p>
    <w:p w:rsidR="00B01315" w:rsidRPr="00080AE1" w:rsidRDefault="00B01315" w:rsidP="00B01315">
      <w:pPr>
        <w:bidi w:val="0"/>
        <w:ind w:firstLine="567"/>
        <w:jc w:val="lowKashida"/>
        <w:rPr>
          <w:rFonts w:cs="Simplified Arabic"/>
        </w:rPr>
      </w:pPr>
      <w:r w:rsidRPr="00080AE1">
        <w:rPr>
          <w:rFonts w:cs="Simplified Arabic"/>
        </w:rPr>
        <w:lastRenderedPageBreak/>
        <w:t xml:space="preserve">It appears that the most susceptible </w:t>
      </w:r>
      <w:r w:rsidRPr="00080AE1">
        <w:t>diffuse</w:t>
      </w:r>
      <w:r w:rsidRPr="00080AE1">
        <w:rPr>
          <w:rFonts w:cs="Simplified Arabic"/>
        </w:rPr>
        <w:t xml:space="preserve"> group to this disorder was that 24(89%) positive from 27 patients, while toxic nodule group was 1(6%) from 17 patients, and nodular toxic group 5(24%) from 21 patients.</w:t>
      </w:r>
    </w:p>
    <w:p w:rsidR="00B01315" w:rsidRPr="00080AE1" w:rsidRDefault="00B01315" w:rsidP="00B01315">
      <w:pPr>
        <w:autoSpaceDE w:val="0"/>
        <w:autoSpaceDN w:val="0"/>
        <w:bidi w:val="0"/>
        <w:adjustRightInd w:val="0"/>
        <w:ind w:firstLine="567"/>
        <w:jc w:val="lowKashida"/>
      </w:pPr>
      <w:r w:rsidRPr="00080AE1">
        <w:t xml:space="preserve">This result showed a highly significant increase (P&lt;0.001) in diffuse patients in comparison with control subjects, while showed non-significant </w:t>
      </w:r>
      <w:r w:rsidRPr="00080AE1">
        <w:lastRenderedPageBreak/>
        <w:t xml:space="preserve">(p&gt;0.05) in nodule patients in comparison with control subjects and found significant increase (p&lt;0.05) in nodular toxic patients in comparison with control subjects. </w:t>
      </w:r>
    </w:p>
    <w:p w:rsidR="00B01315" w:rsidRPr="00080AE1" w:rsidRDefault="00B01315" w:rsidP="00B01315">
      <w:pPr>
        <w:autoSpaceDE w:val="0"/>
        <w:autoSpaceDN w:val="0"/>
        <w:bidi w:val="0"/>
        <w:adjustRightInd w:val="0"/>
        <w:ind w:firstLine="567"/>
        <w:jc w:val="lowKashida"/>
      </w:pPr>
      <w:r w:rsidRPr="00080AE1">
        <w:t xml:space="preserve">These results agrees with other studies by A.A.A </w:t>
      </w:r>
      <w:proofErr w:type="spellStart"/>
      <w:r w:rsidRPr="00080AE1">
        <w:t>mballi</w:t>
      </w:r>
      <w:proofErr w:type="spellEnd"/>
      <w:r w:rsidRPr="00080AE1">
        <w:t xml:space="preserve"> </w:t>
      </w:r>
      <w:r w:rsidRPr="00080AE1">
        <w:rPr>
          <w:rFonts w:cs="Simplified Arabic"/>
        </w:rPr>
        <w:t xml:space="preserve">[21] </w:t>
      </w:r>
      <w:r w:rsidRPr="00080AE1">
        <w:t xml:space="preserve">who reported that elevation of </w:t>
      </w:r>
      <w:proofErr w:type="spellStart"/>
      <w:r w:rsidRPr="00080AE1">
        <w:t>TRAb</w:t>
      </w:r>
      <w:proofErr w:type="spellEnd"/>
      <w:r w:rsidRPr="00080AE1">
        <w:t xml:space="preserve"> in untreated Grave’s disease 95% of patients are </w:t>
      </w:r>
      <w:proofErr w:type="spellStart"/>
      <w:r w:rsidRPr="00080AE1">
        <w:t>TRAb</w:t>
      </w:r>
      <w:proofErr w:type="spellEnd"/>
      <w:r w:rsidRPr="00080AE1">
        <w:t xml:space="preserve"> positive while 15% </w:t>
      </w:r>
      <w:r w:rsidRPr="00080AE1">
        <w:lastRenderedPageBreak/>
        <w:t xml:space="preserve">of patients diagnosed to have nodular toxic </w:t>
      </w:r>
      <w:proofErr w:type="spellStart"/>
      <w:r w:rsidRPr="00080AE1">
        <w:t>goitre</w:t>
      </w:r>
      <w:proofErr w:type="spellEnd"/>
      <w:r w:rsidRPr="00080AE1">
        <w:t xml:space="preserve"> are </w:t>
      </w:r>
      <w:proofErr w:type="spellStart"/>
      <w:r w:rsidRPr="00080AE1">
        <w:t>TRAb</w:t>
      </w:r>
      <w:proofErr w:type="spellEnd"/>
      <w:r w:rsidRPr="00080AE1">
        <w:t xml:space="preserve"> positive.</w:t>
      </w:r>
    </w:p>
    <w:p w:rsidR="00B01315" w:rsidRPr="00080AE1" w:rsidRDefault="00B01315" w:rsidP="00B01315">
      <w:pPr>
        <w:autoSpaceDE w:val="0"/>
        <w:autoSpaceDN w:val="0"/>
        <w:bidi w:val="0"/>
        <w:adjustRightInd w:val="0"/>
        <w:ind w:firstLine="567"/>
        <w:jc w:val="lowKashida"/>
      </w:pPr>
      <w:r w:rsidRPr="00080AE1">
        <w:t xml:space="preserve"> The study of </w:t>
      </w:r>
      <w:proofErr w:type="spellStart"/>
      <w:r w:rsidRPr="00080AE1">
        <w:t>Laurberg</w:t>
      </w:r>
      <w:proofErr w:type="spellEnd"/>
      <w:r w:rsidRPr="00080AE1">
        <w:t xml:space="preserve">, Pedersen </w:t>
      </w:r>
      <w:r w:rsidRPr="00080AE1">
        <w:rPr>
          <w:rFonts w:cs="Simplified Arabic"/>
        </w:rPr>
        <w:t xml:space="preserve">[22] </w:t>
      </w:r>
      <w:r w:rsidRPr="00080AE1">
        <w:t xml:space="preserve">who reported that 90% of patients are </w:t>
      </w:r>
      <w:proofErr w:type="spellStart"/>
      <w:r w:rsidRPr="00080AE1">
        <w:t>TRAb</w:t>
      </w:r>
      <w:proofErr w:type="spellEnd"/>
      <w:r w:rsidRPr="00080AE1">
        <w:t xml:space="preserve"> positive causes hyperthyroidism of Graves’ disease that is distinguished clinically from the presence of a painless diffuse goiter.</w:t>
      </w:r>
    </w:p>
    <w:p w:rsidR="00B01315" w:rsidRPr="00080AE1" w:rsidRDefault="00B01315" w:rsidP="00B01315">
      <w:pPr>
        <w:autoSpaceDE w:val="0"/>
        <w:autoSpaceDN w:val="0"/>
        <w:bidi w:val="0"/>
        <w:adjustRightInd w:val="0"/>
        <w:ind w:firstLine="567"/>
        <w:jc w:val="lowKashida"/>
        <w:rPr>
          <w:rFonts w:ascii="TimesTurk" w:hAnsi="TimesTurk" w:cs="TimesTurk"/>
        </w:rPr>
      </w:pPr>
      <w:proofErr w:type="spellStart"/>
      <w:r w:rsidRPr="00080AE1">
        <w:t>TRAb</w:t>
      </w:r>
      <w:proofErr w:type="spellEnd"/>
      <w:r w:rsidRPr="00080AE1">
        <w:t xml:space="preserve"> is a </w:t>
      </w:r>
      <w:proofErr w:type="spellStart"/>
      <w:r w:rsidRPr="00080AE1">
        <w:t>well known</w:t>
      </w:r>
      <w:proofErr w:type="spellEnd"/>
      <w:r w:rsidRPr="00080AE1">
        <w:t xml:space="preserve"> marker of thyroid gland autoimmunity and may </w:t>
      </w:r>
      <w:r w:rsidRPr="00080AE1">
        <w:lastRenderedPageBreak/>
        <w:t xml:space="preserve">have some predictive value in the recurrence of Graves' disease after treatment with </w:t>
      </w:r>
      <w:proofErr w:type="spellStart"/>
      <w:r w:rsidRPr="00080AE1">
        <w:t>antithyroid</w:t>
      </w:r>
      <w:proofErr w:type="spellEnd"/>
      <w:r w:rsidRPr="00080AE1">
        <w:t xml:space="preserve"> drugs </w:t>
      </w:r>
      <w:proofErr w:type="spellStart"/>
      <w:r w:rsidRPr="00080AE1">
        <w:t>Arqueros</w:t>
      </w:r>
      <w:proofErr w:type="spellEnd"/>
      <w:r w:rsidRPr="00080AE1">
        <w:t xml:space="preserve"> study </w:t>
      </w:r>
      <w:r w:rsidRPr="00080AE1">
        <w:rPr>
          <w:rFonts w:cs="Simplified Arabic"/>
        </w:rPr>
        <w:t>[23]</w:t>
      </w:r>
    </w:p>
    <w:p w:rsidR="00B01315" w:rsidRPr="00080AE1" w:rsidRDefault="00B01315" w:rsidP="00B01315">
      <w:pPr>
        <w:autoSpaceDE w:val="0"/>
        <w:autoSpaceDN w:val="0"/>
        <w:bidi w:val="0"/>
        <w:adjustRightInd w:val="0"/>
        <w:ind w:firstLine="567"/>
      </w:pPr>
      <w:r w:rsidRPr="00080AE1">
        <w:t xml:space="preserve">Results of  Mean </w:t>
      </w:r>
      <w:proofErr w:type="spellStart"/>
      <w:r w:rsidRPr="00080AE1">
        <w:t>TRAb</w:t>
      </w:r>
      <w:proofErr w:type="spellEnd"/>
      <w:r w:rsidRPr="00080AE1">
        <w:t xml:space="preserve"> titers and incidence of positive </w:t>
      </w:r>
      <w:proofErr w:type="spellStart"/>
      <w:r w:rsidRPr="00080AE1">
        <w:t>TRAb</w:t>
      </w:r>
      <w:proofErr w:type="spellEnd"/>
      <w:r w:rsidRPr="00080AE1">
        <w:t xml:space="preserve"> assay in group A, B, C and D are summarized in table (3).</w:t>
      </w:r>
    </w:p>
    <w:p w:rsidR="00B01315" w:rsidRDefault="00B01315" w:rsidP="00B01315">
      <w:pPr>
        <w:autoSpaceDE w:val="0"/>
        <w:autoSpaceDN w:val="0"/>
        <w:bidi w:val="0"/>
        <w:adjustRightInd w:val="0"/>
        <w:spacing w:line="360" w:lineRule="auto"/>
        <w:ind w:firstLine="567"/>
        <w:rPr>
          <w:sz w:val="18"/>
          <w:szCs w:val="18"/>
        </w:rPr>
        <w:sectPr w:rsidR="00B01315" w:rsidSect="00080AE1">
          <w:type w:val="continuous"/>
          <w:pgSz w:w="11906" w:h="16838"/>
          <w:pgMar w:top="851" w:right="1701" w:bottom="851" w:left="1701" w:header="709" w:footer="709" w:gutter="0"/>
          <w:pgNumType w:start="157"/>
          <w:cols w:num="2" w:space="709"/>
          <w:rtlGutter/>
          <w:docGrid w:linePitch="360"/>
        </w:sectPr>
      </w:pPr>
    </w:p>
    <w:p w:rsidR="00B01315" w:rsidRPr="00AA68A1" w:rsidRDefault="00B01315" w:rsidP="00B01315">
      <w:pPr>
        <w:autoSpaceDE w:val="0"/>
        <w:autoSpaceDN w:val="0"/>
        <w:bidi w:val="0"/>
        <w:adjustRightInd w:val="0"/>
        <w:spacing w:line="360" w:lineRule="auto"/>
        <w:ind w:firstLine="567"/>
        <w:rPr>
          <w:sz w:val="18"/>
          <w:szCs w:val="18"/>
        </w:rPr>
      </w:pPr>
    </w:p>
    <w:p w:rsidR="00B01315" w:rsidRPr="00080AE1" w:rsidRDefault="00B01315" w:rsidP="00B01315">
      <w:pPr>
        <w:autoSpaceDE w:val="0"/>
        <w:autoSpaceDN w:val="0"/>
        <w:bidi w:val="0"/>
        <w:adjustRightInd w:val="0"/>
        <w:spacing w:line="360" w:lineRule="auto"/>
        <w:ind w:right="-143"/>
      </w:pPr>
      <w:r>
        <w:rPr>
          <w:b/>
          <w:bCs/>
          <w:u w:val="single"/>
        </w:rPr>
        <w:t xml:space="preserve">Table </w:t>
      </w:r>
      <w:r w:rsidRPr="00080AE1">
        <w:rPr>
          <w:b/>
          <w:bCs/>
          <w:u w:val="single"/>
        </w:rPr>
        <w:t>3</w:t>
      </w:r>
      <w:r w:rsidRPr="00255C70">
        <w:rPr>
          <w:b/>
          <w:bCs/>
        </w:rPr>
        <w:t xml:space="preserve"> </w:t>
      </w:r>
      <w:r w:rsidRPr="00080AE1">
        <w:t xml:space="preserve">Mean </w:t>
      </w:r>
      <w:proofErr w:type="spellStart"/>
      <w:r w:rsidRPr="00080AE1">
        <w:t>TRAb</w:t>
      </w:r>
      <w:proofErr w:type="spellEnd"/>
      <w:r w:rsidRPr="00080AE1">
        <w:t xml:space="preserve"> titers and incidence of positive </w:t>
      </w:r>
      <w:proofErr w:type="spellStart"/>
      <w:r w:rsidRPr="00080AE1">
        <w:t>TRAb</w:t>
      </w:r>
      <w:proofErr w:type="spellEnd"/>
      <w:r w:rsidRPr="00080AE1">
        <w:t xml:space="preserve"> assay in group A, B, C and D.</w:t>
      </w:r>
    </w:p>
    <w:tbl>
      <w:tblPr>
        <w:tblpPr w:leftFromText="180" w:rightFromText="180" w:vertAnchor="text" w:horzAnchor="margin" w:tblpXSpec="center" w:tblpY="91"/>
        <w:tblW w:w="8046" w:type="dxa"/>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1E0" w:firstRow="1" w:lastRow="1" w:firstColumn="1" w:lastColumn="1" w:noHBand="0" w:noVBand="0"/>
      </w:tblPr>
      <w:tblGrid>
        <w:gridCol w:w="1314"/>
        <w:gridCol w:w="897"/>
        <w:gridCol w:w="1725"/>
        <w:gridCol w:w="4110"/>
      </w:tblGrid>
      <w:tr w:rsidR="00B01315" w:rsidRPr="00080AE1" w:rsidTr="0056038E">
        <w:trPr>
          <w:trHeight w:val="526"/>
        </w:trPr>
        <w:tc>
          <w:tcPr>
            <w:tcW w:w="1314" w:type="dxa"/>
            <w:shd w:val="clear" w:color="auto" w:fill="CCCCCC"/>
            <w:vAlign w:val="center"/>
          </w:tcPr>
          <w:p w:rsidR="00B01315" w:rsidRPr="00080AE1" w:rsidRDefault="00B01315" w:rsidP="0056038E">
            <w:pPr>
              <w:bidi w:val="0"/>
              <w:spacing w:line="360" w:lineRule="auto"/>
              <w:jc w:val="center"/>
              <w:rPr>
                <w:b/>
              </w:rPr>
            </w:pPr>
            <w:r w:rsidRPr="00080AE1">
              <w:rPr>
                <w:b/>
              </w:rPr>
              <w:t>Groups</w:t>
            </w:r>
          </w:p>
        </w:tc>
        <w:tc>
          <w:tcPr>
            <w:tcW w:w="897" w:type="dxa"/>
            <w:shd w:val="clear" w:color="auto" w:fill="CCCCCC"/>
            <w:vAlign w:val="center"/>
          </w:tcPr>
          <w:p w:rsidR="00B01315" w:rsidRPr="00080AE1" w:rsidRDefault="00B01315" w:rsidP="0056038E">
            <w:pPr>
              <w:bidi w:val="0"/>
              <w:spacing w:line="360" w:lineRule="auto"/>
              <w:jc w:val="center"/>
              <w:rPr>
                <w:b/>
              </w:rPr>
            </w:pPr>
            <w:r w:rsidRPr="00080AE1">
              <w:rPr>
                <w:b/>
              </w:rPr>
              <w:t>Total</w:t>
            </w:r>
          </w:p>
        </w:tc>
        <w:tc>
          <w:tcPr>
            <w:tcW w:w="1725" w:type="dxa"/>
            <w:shd w:val="clear" w:color="auto" w:fill="CCCCCC"/>
            <w:vAlign w:val="center"/>
          </w:tcPr>
          <w:p w:rsidR="00B01315" w:rsidRPr="00080AE1" w:rsidRDefault="00B01315" w:rsidP="0056038E">
            <w:pPr>
              <w:autoSpaceDE w:val="0"/>
              <w:autoSpaceDN w:val="0"/>
              <w:bidi w:val="0"/>
              <w:adjustRightInd w:val="0"/>
              <w:spacing w:line="360" w:lineRule="auto"/>
              <w:jc w:val="center"/>
              <w:rPr>
                <w:b/>
              </w:rPr>
            </w:pPr>
            <w:r w:rsidRPr="00080AE1">
              <w:rPr>
                <w:b/>
              </w:rPr>
              <w:t>Positive n.</w:t>
            </w:r>
          </w:p>
        </w:tc>
        <w:tc>
          <w:tcPr>
            <w:tcW w:w="4110" w:type="dxa"/>
            <w:shd w:val="clear" w:color="auto" w:fill="CCCCCC"/>
            <w:vAlign w:val="center"/>
          </w:tcPr>
          <w:p w:rsidR="00B01315" w:rsidRPr="00080AE1" w:rsidRDefault="00B01315" w:rsidP="0056038E">
            <w:pPr>
              <w:autoSpaceDE w:val="0"/>
              <w:autoSpaceDN w:val="0"/>
              <w:bidi w:val="0"/>
              <w:adjustRightInd w:val="0"/>
              <w:spacing w:line="360" w:lineRule="auto"/>
              <w:jc w:val="center"/>
              <w:rPr>
                <w:b/>
              </w:rPr>
            </w:pPr>
            <w:r w:rsidRPr="00080AE1">
              <w:rPr>
                <w:b/>
              </w:rPr>
              <w:t xml:space="preserve">Percentage of Positive </w:t>
            </w:r>
            <w:proofErr w:type="spellStart"/>
            <w:r w:rsidRPr="00080AE1">
              <w:rPr>
                <w:b/>
              </w:rPr>
              <w:t>TRAb</w:t>
            </w:r>
            <w:proofErr w:type="spellEnd"/>
            <w:r w:rsidRPr="00080AE1">
              <w:rPr>
                <w:b/>
              </w:rPr>
              <w:t xml:space="preserve"> Titer</w:t>
            </w:r>
          </w:p>
        </w:tc>
      </w:tr>
      <w:tr w:rsidR="00B01315" w:rsidRPr="00080AE1" w:rsidTr="0056038E">
        <w:trPr>
          <w:trHeight w:val="520"/>
        </w:trPr>
        <w:tc>
          <w:tcPr>
            <w:tcW w:w="1314" w:type="dxa"/>
            <w:shd w:val="clear" w:color="auto" w:fill="CCCCCC"/>
            <w:vAlign w:val="center"/>
          </w:tcPr>
          <w:p w:rsidR="00B01315" w:rsidRPr="00080AE1" w:rsidRDefault="00B01315" w:rsidP="0056038E">
            <w:pPr>
              <w:bidi w:val="0"/>
              <w:spacing w:line="360" w:lineRule="auto"/>
              <w:jc w:val="center"/>
              <w:rPr>
                <w:b/>
              </w:rPr>
            </w:pPr>
            <w:r w:rsidRPr="00080AE1">
              <w:rPr>
                <w:b/>
              </w:rPr>
              <w:t>Group A</w:t>
            </w:r>
          </w:p>
        </w:tc>
        <w:tc>
          <w:tcPr>
            <w:tcW w:w="897" w:type="dxa"/>
          </w:tcPr>
          <w:p w:rsidR="00B01315" w:rsidRPr="00080AE1" w:rsidRDefault="00B01315" w:rsidP="0056038E">
            <w:pPr>
              <w:bidi w:val="0"/>
              <w:spacing w:line="360" w:lineRule="auto"/>
              <w:jc w:val="center"/>
              <w:rPr>
                <w:bCs/>
              </w:rPr>
            </w:pPr>
            <w:r w:rsidRPr="00080AE1">
              <w:rPr>
                <w:bCs/>
              </w:rPr>
              <w:t>27</w:t>
            </w:r>
          </w:p>
        </w:tc>
        <w:tc>
          <w:tcPr>
            <w:tcW w:w="1725" w:type="dxa"/>
          </w:tcPr>
          <w:p w:rsidR="00B01315" w:rsidRPr="00080AE1" w:rsidRDefault="00B01315" w:rsidP="0056038E">
            <w:pPr>
              <w:bidi w:val="0"/>
              <w:spacing w:line="360" w:lineRule="auto"/>
              <w:jc w:val="center"/>
              <w:rPr>
                <w:bCs/>
              </w:rPr>
            </w:pPr>
            <w:r w:rsidRPr="00080AE1">
              <w:rPr>
                <w:bCs/>
              </w:rPr>
              <w:t>24</w:t>
            </w:r>
          </w:p>
        </w:tc>
        <w:tc>
          <w:tcPr>
            <w:tcW w:w="4110" w:type="dxa"/>
          </w:tcPr>
          <w:p w:rsidR="00B01315" w:rsidRPr="00080AE1" w:rsidRDefault="00B01315" w:rsidP="0056038E">
            <w:pPr>
              <w:bidi w:val="0"/>
              <w:spacing w:line="360" w:lineRule="auto"/>
              <w:jc w:val="center"/>
              <w:rPr>
                <w:bCs/>
              </w:rPr>
            </w:pPr>
            <w:r w:rsidRPr="00080AE1">
              <w:rPr>
                <w:bCs/>
              </w:rPr>
              <w:t>89 %</w:t>
            </w:r>
          </w:p>
        </w:tc>
      </w:tr>
      <w:tr w:rsidR="00B01315" w:rsidRPr="00080AE1" w:rsidTr="0056038E">
        <w:trPr>
          <w:trHeight w:val="345"/>
        </w:trPr>
        <w:tc>
          <w:tcPr>
            <w:tcW w:w="1314" w:type="dxa"/>
            <w:shd w:val="clear" w:color="auto" w:fill="CCCCCC"/>
            <w:vAlign w:val="center"/>
          </w:tcPr>
          <w:p w:rsidR="00B01315" w:rsidRPr="00080AE1" w:rsidRDefault="00B01315" w:rsidP="0056038E">
            <w:pPr>
              <w:bidi w:val="0"/>
              <w:spacing w:line="360" w:lineRule="auto"/>
              <w:jc w:val="center"/>
              <w:rPr>
                <w:b/>
              </w:rPr>
            </w:pPr>
            <w:r w:rsidRPr="00080AE1">
              <w:rPr>
                <w:b/>
              </w:rPr>
              <w:t>Group B</w:t>
            </w:r>
          </w:p>
        </w:tc>
        <w:tc>
          <w:tcPr>
            <w:tcW w:w="897" w:type="dxa"/>
          </w:tcPr>
          <w:p w:rsidR="00B01315" w:rsidRPr="00080AE1" w:rsidRDefault="00B01315" w:rsidP="0056038E">
            <w:pPr>
              <w:bidi w:val="0"/>
              <w:spacing w:line="360" w:lineRule="auto"/>
              <w:jc w:val="center"/>
              <w:rPr>
                <w:bCs/>
              </w:rPr>
            </w:pPr>
            <w:r w:rsidRPr="00080AE1">
              <w:rPr>
                <w:bCs/>
              </w:rPr>
              <w:t>17</w:t>
            </w:r>
          </w:p>
        </w:tc>
        <w:tc>
          <w:tcPr>
            <w:tcW w:w="1725" w:type="dxa"/>
          </w:tcPr>
          <w:p w:rsidR="00B01315" w:rsidRPr="00080AE1" w:rsidRDefault="00B01315" w:rsidP="0056038E">
            <w:pPr>
              <w:bidi w:val="0"/>
              <w:spacing w:line="360" w:lineRule="auto"/>
              <w:jc w:val="center"/>
              <w:rPr>
                <w:bCs/>
              </w:rPr>
            </w:pPr>
            <w:r w:rsidRPr="00080AE1">
              <w:rPr>
                <w:bCs/>
              </w:rPr>
              <w:t>2</w:t>
            </w:r>
          </w:p>
        </w:tc>
        <w:tc>
          <w:tcPr>
            <w:tcW w:w="4110" w:type="dxa"/>
          </w:tcPr>
          <w:p w:rsidR="00B01315" w:rsidRPr="00080AE1" w:rsidRDefault="00B01315" w:rsidP="0056038E">
            <w:pPr>
              <w:bidi w:val="0"/>
              <w:spacing w:line="360" w:lineRule="auto"/>
              <w:jc w:val="center"/>
              <w:rPr>
                <w:bCs/>
              </w:rPr>
            </w:pPr>
            <w:r w:rsidRPr="00080AE1">
              <w:rPr>
                <w:bCs/>
              </w:rPr>
              <w:t>6%</w:t>
            </w:r>
          </w:p>
        </w:tc>
      </w:tr>
      <w:tr w:rsidR="00B01315" w:rsidRPr="00080AE1" w:rsidTr="0056038E">
        <w:trPr>
          <w:trHeight w:val="329"/>
        </w:trPr>
        <w:tc>
          <w:tcPr>
            <w:tcW w:w="1314" w:type="dxa"/>
            <w:shd w:val="clear" w:color="auto" w:fill="CCCCCC"/>
            <w:vAlign w:val="center"/>
          </w:tcPr>
          <w:p w:rsidR="00B01315" w:rsidRPr="00080AE1" w:rsidRDefault="00B01315" w:rsidP="0056038E">
            <w:pPr>
              <w:bidi w:val="0"/>
              <w:spacing w:line="360" w:lineRule="auto"/>
              <w:jc w:val="center"/>
              <w:rPr>
                <w:b/>
              </w:rPr>
            </w:pPr>
            <w:r w:rsidRPr="00080AE1">
              <w:rPr>
                <w:b/>
              </w:rPr>
              <w:t>Group C</w:t>
            </w:r>
          </w:p>
        </w:tc>
        <w:tc>
          <w:tcPr>
            <w:tcW w:w="897" w:type="dxa"/>
          </w:tcPr>
          <w:p w:rsidR="00B01315" w:rsidRPr="00080AE1" w:rsidRDefault="00B01315" w:rsidP="0056038E">
            <w:pPr>
              <w:bidi w:val="0"/>
              <w:spacing w:line="360" w:lineRule="auto"/>
              <w:jc w:val="center"/>
              <w:rPr>
                <w:bCs/>
              </w:rPr>
            </w:pPr>
            <w:r w:rsidRPr="00080AE1">
              <w:rPr>
                <w:bCs/>
              </w:rPr>
              <w:t>21</w:t>
            </w:r>
          </w:p>
        </w:tc>
        <w:tc>
          <w:tcPr>
            <w:tcW w:w="1725" w:type="dxa"/>
          </w:tcPr>
          <w:p w:rsidR="00B01315" w:rsidRPr="00080AE1" w:rsidRDefault="00B01315" w:rsidP="0056038E">
            <w:pPr>
              <w:bidi w:val="0"/>
              <w:spacing w:line="360" w:lineRule="auto"/>
              <w:jc w:val="center"/>
              <w:rPr>
                <w:bCs/>
              </w:rPr>
            </w:pPr>
            <w:r w:rsidRPr="00080AE1">
              <w:rPr>
                <w:bCs/>
              </w:rPr>
              <w:t>5</w:t>
            </w:r>
          </w:p>
        </w:tc>
        <w:tc>
          <w:tcPr>
            <w:tcW w:w="4110" w:type="dxa"/>
          </w:tcPr>
          <w:p w:rsidR="00B01315" w:rsidRPr="00080AE1" w:rsidRDefault="00B01315" w:rsidP="0056038E">
            <w:pPr>
              <w:bidi w:val="0"/>
              <w:spacing w:line="360" w:lineRule="auto"/>
              <w:jc w:val="center"/>
              <w:rPr>
                <w:bCs/>
              </w:rPr>
            </w:pPr>
            <w:r w:rsidRPr="00080AE1">
              <w:rPr>
                <w:bCs/>
              </w:rPr>
              <w:t>24%</w:t>
            </w:r>
          </w:p>
        </w:tc>
      </w:tr>
      <w:tr w:rsidR="00B01315" w:rsidRPr="00080AE1" w:rsidTr="0056038E">
        <w:trPr>
          <w:trHeight w:val="345"/>
        </w:trPr>
        <w:tc>
          <w:tcPr>
            <w:tcW w:w="1314" w:type="dxa"/>
            <w:shd w:val="clear" w:color="auto" w:fill="CCCCCC"/>
            <w:vAlign w:val="center"/>
          </w:tcPr>
          <w:p w:rsidR="00B01315" w:rsidRPr="00080AE1" w:rsidRDefault="00B01315" w:rsidP="0056038E">
            <w:pPr>
              <w:bidi w:val="0"/>
              <w:spacing w:line="360" w:lineRule="auto"/>
              <w:jc w:val="center"/>
              <w:rPr>
                <w:b/>
              </w:rPr>
            </w:pPr>
            <w:r w:rsidRPr="00080AE1">
              <w:rPr>
                <w:b/>
              </w:rPr>
              <w:t>Group D</w:t>
            </w:r>
          </w:p>
        </w:tc>
        <w:tc>
          <w:tcPr>
            <w:tcW w:w="897" w:type="dxa"/>
          </w:tcPr>
          <w:p w:rsidR="00B01315" w:rsidRPr="00080AE1" w:rsidRDefault="00B01315" w:rsidP="0056038E">
            <w:pPr>
              <w:bidi w:val="0"/>
              <w:spacing w:line="360" w:lineRule="auto"/>
              <w:jc w:val="center"/>
              <w:rPr>
                <w:bCs/>
              </w:rPr>
            </w:pPr>
            <w:r w:rsidRPr="00080AE1">
              <w:rPr>
                <w:bCs/>
              </w:rPr>
              <w:t>25</w:t>
            </w:r>
          </w:p>
        </w:tc>
        <w:tc>
          <w:tcPr>
            <w:tcW w:w="1725" w:type="dxa"/>
          </w:tcPr>
          <w:p w:rsidR="00B01315" w:rsidRPr="00080AE1" w:rsidRDefault="00B01315" w:rsidP="0056038E">
            <w:pPr>
              <w:bidi w:val="0"/>
              <w:spacing w:line="360" w:lineRule="auto"/>
              <w:jc w:val="center"/>
              <w:rPr>
                <w:bCs/>
              </w:rPr>
            </w:pPr>
            <w:r w:rsidRPr="00080AE1">
              <w:rPr>
                <w:bCs/>
              </w:rPr>
              <w:t>0.0</w:t>
            </w:r>
          </w:p>
        </w:tc>
        <w:tc>
          <w:tcPr>
            <w:tcW w:w="4110" w:type="dxa"/>
          </w:tcPr>
          <w:p w:rsidR="00B01315" w:rsidRPr="00080AE1" w:rsidRDefault="00B01315" w:rsidP="0056038E">
            <w:pPr>
              <w:bidi w:val="0"/>
              <w:spacing w:line="360" w:lineRule="auto"/>
              <w:jc w:val="center"/>
              <w:rPr>
                <w:bCs/>
              </w:rPr>
            </w:pPr>
            <w:r w:rsidRPr="00080AE1">
              <w:rPr>
                <w:bCs/>
              </w:rPr>
              <w:t>0.0</w:t>
            </w:r>
          </w:p>
        </w:tc>
      </w:tr>
    </w:tbl>
    <w:p w:rsidR="00B01315" w:rsidRDefault="00B01315" w:rsidP="00B01315">
      <w:pPr>
        <w:bidi w:val="0"/>
        <w:jc w:val="lowKashida"/>
        <w:rPr>
          <w:rFonts w:cs="Simplified Arabic"/>
        </w:rPr>
        <w:sectPr w:rsidR="00B01315" w:rsidSect="00DE355B">
          <w:type w:val="continuous"/>
          <w:pgSz w:w="11906" w:h="16838"/>
          <w:pgMar w:top="851" w:right="1701" w:bottom="851" w:left="1701" w:header="709" w:footer="709" w:gutter="0"/>
          <w:pgNumType w:start="153"/>
          <w:cols w:space="708"/>
          <w:bidi/>
          <w:rtlGutter/>
          <w:docGrid w:linePitch="360"/>
        </w:sectPr>
      </w:pPr>
    </w:p>
    <w:p w:rsidR="00E55747" w:rsidRDefault="00E55747" w:rsidP="00B01315">
      <w:pPr>
        <w:bidi w:val="0"/>
        <w:jc w:val="lowKashida"/>
        <w:rPr>
          <w:rFonts w:cs="Simplified Arabic"/>
        </w:rPr>
      </w:pPr>
    </w:p>
    <w:p w:rsidR="00E55747" w:rsidRDefault="00E55747" w:rsidP="00E55747">
      <w:pPr>
        <w:bidi w:val="0"/>
        <w:jc w:val="lowKashida"/>
        <w:rPr>
          <w:rFonts w:cs="Simplified Arabic"/>
          <w:b/>
          <w:bCs/>
        </w:rPr>
        <w:sectPr w:rsidR="00E55747" w:rsidSect="00080AE1">
          <w:type w:val="continuous"/>
          <w:pgSz w:w="11906" w:h="16838"/>
          <w:pgMar w:top="851" w:right="1701" w:bottom="851" w:left="1701" w:header="709" w:footer="709" w:gutter="0"/>
          <w:pgNumType w:start="158"/>
          <w:cols w:num="2" w:space="709"/>
          <w:rtlGutter/>
          <w:docGrid w:linePitch="360"/>
        </w:sectPr>
      </w:pPr>
    </w:p>
    <w:p w:rsidR="00E55747" w:rsidRPr="00EB2E46" w:rsidRDefault="00E55747" w:rsidP="00E55747">
      <w:pPr>
        <w:bidi w:val="0"/>
        <w:jc w:val="lowKashida"/>
        <w:rPr>
          <w:rFonts w:cs="Simplified Arabic"/>
          <w:b/>
          <w:bCs/>
        </w:rPr>
      </w:pPr>
      <w:r w:rsidRPr="00EB2E46">
        <w:rPr>
          <w:rFonts w:cs="Simplified Arabic"/>
          <w:b/>
          <w:bCs/>
        </w:rPr>
        <w:lastRenderedPageBreak/>
        <w:t xml:space="preserve">Group </w:t>
      </w:r>
      <w:r>
        <w:rPr>
          <w:rFonts w:cs="Simplified Arabic"/>
          <w:b/>
          <w:bCs/>
        </w:rPr>
        <w:t>A,B,C and D</w:t>
      </w:r>
      <w:r w:rsidRPr="00EB2E46">
        <w:rPr>
          <w:rFonts w:cs="Simplified Arabic"/>
          <w:b/>
          <w:bCs/>
        </w:rPr>
        <w:t xml:space="preserve"> = diffuse toxic </w:t>
      </w:r>
      <w:r w:rsidR="002E6654" w:rsidRPr="00EB2E46">
        <w:rPr>
          <w:rFonts w:cs="Simplified Arabic"/>
          <w:b/>
          <w:bCs/>
        </w:rPr>
        <w:t>goiter</w:t>
      </w:r>
      <w:r w:rsidRPr="00EB2E46">
        <w:rPr>
          <w:rFonts w:cs="Simplified Arabic"/>
          <w:b/>
          <w:bCs/>
        </w:rPr>
        <w:t xml:space="preserve">, </w:t>
      </w:r>
      <w:r w:rsidR="002E6654" w:rsidRPr="00EB2E46">
        <w:rPr>
          <w:rFonts w:cs="Simplified Arabic"/>
          <w:b/>
          <w:bCs/>
        </w:rPr>
        <w:t>nodul</w:t>
      </w:r>
      <w:r w:rsidR="002E6654">
        <w:rPr>
          <w:rFonts w:cs="Simplified Arabic"/>
          <w:b/>
          <w:bCs/>
        </w:rPr>
        <w:t>e</w:t>
      </w:r>
      <w:r w:rsidRPr="00EB2E46">
        <w:rPr>
          <w:rFonts w:cs="Simplified Arabic"/>
          <w:b/>
          <w:bCs/>
        </w:rPr>
        <w:t xml:space="preserve"> toxic, </w:t>
      </w:r>
      <w:r>
        <w:rPr>
          <w:rFonts w:cs="Simplified Arabic"/>
          <w:b/>
          <w:bCs/>
        </w:rPr>
        <w:t>nodular toxic goiter and control respectively</w:t>
      </w:r>
      <w:r w:rsidRPr="00EB2E46">
        <w:rPr>
          <w:rFonts w:cs="Simplified Arabic"/>
          <w:b/>
          <w:bCs/>
        </w:rPr>
        <w:t xml:space="preserve"> **:  the difference is highly significant at p=0.01.</w:t>
      </w:r>
    </w:p>
    <w:p w:rsidR="00E55747" w:rsidRDefault="00E55747" w:rsidP="00E55747">
      <w:pPr>
        <w:bidi w:val="0"/>
        <w:jc w:val="lowKashida"/>
        <w:rPr>
          <w:rFonts w:cs="Simplified Arabic"/>
          <w:b/>
          <w:bCs/>
        </w:rPr>
      </w:pPr>
      <w:r w:rsidRPr="00EB2E46">
        <w:rPr>
          <w:rFonts w:cs="Simplified Arabic"/>
          <w:b/>
          <w:bCs/>
        </w:rPr>
        <w:t>*: the difference is significant at p=0.05.NS: Non significant at p=0.05.</w:t>
      </w:r>
    </w:p>
    <w:p w:rsidR="00E55747" w:rsidRDefault="00E55747" w:rsidP="00E55747">
      <w:pPr>
        <w:bidi w:val="0"/>
        <w:jc w:val="lowKashida"/>
        <w:rPr>
          <w:rFonts w:cs="Simplified Arabic"/>
        </w:rPr>
        <w:sectPr w:rsidR="00E55747" w:rsidSect="00E55747">
          <w:type w:val="continuous"/>
          <w:pgSz w:w="11906" w:h="16838"/>
          <w:pgMar w:top="851" w:right="1701" w:bottom="851" w:left="1701" w:header="709" w:footer="709" w:gutter="0"/>
          <w:pgNumType w:start="158"/>
          <w:cols w:space="709"/>
          <w:rtlGutter/>
          <w:docGrid w:linePitch="360"/>
        </w:sectPr>
      </w:pPr>
    </w:p>
    <w:p w:rsidR="00E55747" w:rsidRDefault="00E55747" w:rsidP="00E55747">
      <w:pPr>
        <w:bidi w:val="0"/>
        <w:jc w:val="lowKashida"/>
        <w:rPr>
          <w:rFonts w:cs="Simplified Arabic"/>
        </w:rPr>
      </w:pPr>
    </w:p>
    <w:p w:rsidR="00B01315" w:rsidRPr="00080AE1" w:rsidRDefault="003753A5" w:rsidP="00E55747">
      <w:pPr>
        <w:bidi w:val="0"/>
        <w:jc w:val="lowKashida"/>
        <w:rPr>
          <w:rFonts w:cs="Simplified Arabic"/>
        </w:rPr>
      </w:pPr>
      <w:r>
        <w:rPr>
          <w:rFonts w:cs="Simplified Arabic"/>
        </w:rPr>
        <w:t xml:space="preserve">      </w:t>
      </w:r>
      <w:r w:rsidR="00B01315" w:rsidRPr="00080AE1">
        <w:rPr>
          <w:rFonts w:cs="Simplified Arabic"/>
        </w:rPr>
        <w:t xml:space="preserve">It appears that the most susceptible </w:t>
      </w:r>
      <w:r w:rsidR="00B01315" w:rsidRPr="00080AE1">
        <w:t>diffuse</w:t>
      </w:r>
      <w:r w:rsidR="00B01315" w:rsidRPr="00080AE1">
        <w:rPr>
          <w:rFonts w:cs="Simplified Arabic"/>
        </w:rPr>
        <w:t xml:space="preserve"> group to this disorder was that 24(89%) positive from 27 patients, while toxic nodule group was 1(6%) from 17 patients, and nodular toxic group 5(24%) from 21 patients.</w:t>
      </w:r>
    </w:p>
    <w:p w:rsidR="00B01315" w:rsidRPr="00080AE1" w:rsidRDefault="00B01315" w:rsidP="00B01315">
      <w:pPr>
        <w:autoSpaceDE w:val="0"/>
        <w:autoSpaceDN w:val="0"/>
        <w:bidi w:val="0"/>
        <w:adjustRightInd w:val="0"/>
        <w:jc w:val="lowKashida"/>
      </w:pPr>
      <w:r w:rsidRPr="00080AE1">
        <w:t xml:space="preserve">This result showed a highly significant increase (P&lt;0.01) in diffuse patients in comparison with control subjects, while showed </w:t>
      </w:r>
      <w:r w:rsidR="00672E5A" w:rsidRPr="00080AE1">
        <w:t>non-significant</w:t>
      </w:r>
      <w:r w:rsidRPr="00080AE1">
        <w:t xml:space="preserve"> (p&gt;0.05) in nodule patients in comparison with control subjects and found significant increase (p&lt;0.05) in nodular toxic patients in comparison with control subjects. </w:t>
      </w:r>
    </w:p>
    <w:p w:rsidR="00E55747" w:rsidRDefault="00E55747" w:rsidP="00B01315">
      <w:pPr>
        <w:autoSpaceDE w:val="0"/>
        <w:autoSpaceDN w:val="0"/>
        <w:bidi w:val="0"/>
        <w:adjustRightInd w:val="0"/>
        <w:jc w:val="lowKashida"/>
      </w:pPr>
    </w:p>
    <w:p w:rsidR="00B01315" w:rsidRPr="00080AE1" w:rsidRDefault="003753A5" w:rsidP="00E55747">
      <w:pPr>
        <w:autoSpaceDE w:val="0"/>
        <w:autoSpaceDN w:val="0"/>
        <w:bidi w:val="0"/>
        <w:adjustRightInd w:val="0"/>
        <w:jc w:val="lowKashida"/>
      </w:pPr>
      <w:r>
        <w:t xml:space="preserve">      </w:t>
      </w:r>
      <w:r w:rsidR="00B01315" w:rsidRPr="00080AE1">
        <w:t xml:space="preserve">These results agrees with other study which conducted by A.A. A </w:t>
      </w:r>
      <w:proofErr w:type="spellStart"/>
      <w:r w:rsidR="00B01315" w:rsidRPr="00080AE1">
        <w:t>mballi</w:t>
      </w:r>
      <w:proofErr w:type="spellEnd"/>
      <w:r w:rsidR="00B01315" w:rsidRPr="00080AE1">
        <w:t xml:space="preserve"> [24] who reported that elevation of </w:t>
      </w:r>
      <w:proofErr w:type="spellStart"/>
      <w:r w:rsidR="00B01315" w:rsidRPr="00080AE1">
        <w:t>TRAb</w:t>
      </w:r>
      <w:proofErr w:type="spellEnd"/>
      <w:r w:rsidR="00B01315" w:rsidRPr="00080AE1">
        <w:t xml:space="preserve"> in untreated Grave’s disease 95% of patients are </w:t>
      </w:r>
      <w:proofErr w:type="spellStart"/>
      <w:r w:rsidR="00B01315" w:rsidRPr="00080AE1">
        <w:t>TRAb</w:t>
      </w:r>
      <w:proofErr w:type="spellEnd"/>
      <w:r w:rsidR="00B01315" w:rsidRPr="00080AE1">
        <w:t xml:space="preserve"> positive while 15% of patients diagnosed to have nodular toxic </w:t>
      </w:r>
      <w:proofErr w:type="spellStart"/>
      <w:r w:rsidR="00B01315" w:rsidRPr="00080AE1">
        <w:t>goitre</w:t>
      </w:r>
      <w:proofErr w:type="spellEnd"/>
      <w:r w:rsidR="00B01315" w:rsidRPr="00080AE1">
        <w:t xml:space="preserve"> are </w:t>
      </w:r>
      <w:proofErr w:type="spellStart"/>
      <w:r w:rsidR="00B01315" w:rsidRPr="00080AE1">
        <w:t>TRAb</w:t>
      </w:r>
      <w:proofErr w:type="spellEnd"/>
      <w:r w:rsidR="00B01315" w:rsidRPr="00080AE1">
        <w:t xml:space="preserve"> positive.</w:t>
      </w:r>
    </w:p>
    <w:p w:rsidR="00E55747" w:rsidRDefault="00B01315" w:rsidP="00B01315">
      <w:pPr>
        <w:autoSpaceDE w:val="0"/>
        <w:autoSpaceDN w:val="0"/>
        <w:bidi w:val="0"/>
        <w:adjustRightInd w:val="0"/>
        <w:jc w:val="lowKashida"/>
      </w:pPr>
      <w:r w:rsidRPr="00080AE1">
        <w:lastRenderedPageBreak/>
        <w:t xml:space="preserve"> </w:t>
      </w:r>
    </w:p>
    <w:p w:rsidR="00E55747" w:rsidRDefault="00B01315" w:rsidP="00E55747">
      <w:pPr>
        <w:autoSpaceDE w:val="0"/>
        <w:autoSpaceDN w:val="0"/>
        <w:bidi w:val="0"/>
        <w:adjustRightInd w:val="0"/>
        <w:jc w:val="lowKashida"/>
      </w:pPr>
      <w:r w:rsidRPr="00080AE1">
        <w:t xml:space="preserve">The study of </w:t>
      </w:r>
      <w:proofErr w:type="spellStart"/>
      <w:r w:rsidRPr="00080AE1">
        <w:t>Laurberg</w:t>
      </w:r>
      <w:proofErr w:type="spellEnd"/>
      <w:r w:rsidRPr="00080AE1">
        <w:t xml:space="preserve">, Pedersen [25] who reported that 90% of patients are </w:t>
      </w:r>
      <w:proofErr w:type="spellStart"/>
      <w:r w:rsidRPr="00080AE1">
        <w:t>TRAb</w:t>
      </w:r>
      <w:proofErr w:type="spellEnd"/>
      <w:r w:rsidRPr="00080AE1">
        <w:t xml:space="preserve"> positive causes hyperthyroidism of Graves’ disease that is distinguished </w:t>
      </w:r>
    </w:p>
    <w:p w:rsidR="00B01315" w:rsidRPr="00080AE1" w:rsidRDefault="00B01315" w:rsidP="00E55747">
      <w:pPr>
        <w:autoSpaceDE w:val="0"/>
        <w:autoSpaceDN w:val="0"/>
        <w:bidi w:val="0"/>
        <w:adjustRightInd w:val="0"/>
        <w:jc w:val="lowKashida"/>
      </w:pPr>
      <w:r w:rsidRPr="00080AE1">
        <w:t>clinically from the presence of a painless diffuse goiter.</w:t>
      </w:r>
    </w:p>
    <w:p w:rsidR="00B01315" w:rsidRPr="00080AE1" w:rsidRDefault="003753A5" w:rsidP="00B01315">
      <w:pPr>
        <w:autoSpaceDE w:val="0"/>
        <w:autoSpaceDN w:val="0"/>
        <w:bidi w:val="0"/>
        <w:adjustRightInd w:val="0"/>
        <w:jc w:val="lowKashida"/>
        <w:rPr>
          <w:rFonts w:ascii="TimesTurk" w:hAnsi="TimesTurk" w:cs="TimesTurk"/>
        </w:rPr>
      </w:pPr>
      <w:r>
        <w:t xml:space="preserve">      </w:t>
      </w:r>
      <w:proofErr w:type="spellStart"/>
      <w:r w:rsidR="00B01315" w:rsidRPr="00080AE1">
        <w:t>TRAb</w:t>
      </w:r>
      <w:proofErr w:type="spellEnd"/>
      <w:r w:rsidR="00B01315" w:rsidRPr="00080AE1">
        <w:t xml:space="preserve"> is a </w:t>
      </w:r>
      <w:r w:rsidR="00672E5A" w:rsidRPr="00080AE1">
        <w:t>well-known</w:t>
      </w:r>
      <w:r w:rsidR="00B01315" w:rsidRPr="00080AE1">
        <w:t xml:space="preserve"> marker of thyroid gland autoimmunity and may have some predictive value in the recurrence of Graves' disease after treatment with </w:t>
      </w:r>
      <w:proofErr w:type="spellStart"/>
      <w:r w:rsidR="00B01315" w:rsidRPr="00080AE1">
        <w:t>antithyroid</w:t>
      </w:r>
      <w:proofErr w:type="spellEnd"/>
      <w:r w:rsidR="00B01315" w:rsidRPr="00080AE1">
        <w:t xml:space="preserve"> drugs </w:t>
      </w:r>
      <w:proofErr w:type="spellStart"/>
      <w:r w:rsidR="00B01315" w:rsidRPr="00080AE1">
        <w:t>Arqueros</w:t>
      </w:r>
      <w:proofErr w:type="spellEnd"/>
      <w:r w:rsidR="00B01315" w:rsidRPr="00080AE1">
        <w:t xml:space="preserve"> study [26].</w:t>
      </w:r>
      <w:r w:rsidR="00B01315" w:rsidRPr="00080AE1">
        <w:rPr>
          <w:rFonts w:ascii="TimesTurk" w:hAnsi="TimesTurk" w:cs="TimesTurk"/>
        </w:rPr>
        <w:t xml:space="preserve"> </w:t>
      </w:r>
    </w:p>
    <w:p w:rsidR="00B01315" w:rsidRPr="00080AE1" w:rsidRDefault="003753A5" w:rsidP="00B01315">
      <w:pPr>
        <w:autoSpaceDE w:val="0"/>
        <w:autoSpaceDN w:val="0"/>
        <w:bidi w:val="0"/>
        <w:adjustRightInd w:val="0"/>
        <w:jc w:val="lowKashida"/>
      </w:pPr>
      <w:r>
        <w:t xml:space="preserve">      </w:t>
      </w:r>
      <w:r w:rsidR="00B01315" w:rsidRPr="00080AE1">
        <w:t xml:space="preserve">Although not recommended as a first line test in the diagnosis of Graves' disease, the </w:t>
      </w:r>
      <w:proofErr w:type="spellStart"/>
      <w:r w:rsidR="00B01315" w:rsidRPr="00080AE1">
        <w:t>TRAb</w:t>
      </w:r>
      <w:proofErr w:type="spellEnd"/>
      <w:r w:rsidR="00B01315" w:rsidRPr="00080AE1">
        <w:t xml:space="preserve"> assay is more sensitive than a homogeneous thyroid scan and a palpation of a diffusely enlarged gland (89% versus 78.1% and 74.8 %) [27] , clinical findings, the measurement of the anti TPO, and a radioiodine uptake of the thyroid cannot always give sufficient evidence to diagnose Graves' disease in some </w:t>
      </w:r>
      <w:r w:rsidR="00B01315" w:rsidRPr="00080AE1">
        <w:lastRenderedPageBreak/>
        <w:t>patients, so it can be important in the diagnosis of Graves' disease [28]. So, this finding may be helpful in distinguishing these diffuse toxic from another two groups especially when clinical and laboratory findings are insufficient in confirming the diagnosis of Graves' disease.</w:t>
      </w:r>
    </w:p>
    <w:p w:rsidR="00B01315" w:rsidRPr="003753A5" w:rsidRDefault="00B01315" w:rsidP="003753A5">
      <w:pPr>
        <w:autoSpaceDE w:val="0"/>
        <w:autoSpaceDN w:val="0"/>
        <w:bidi w:val="0"/>
        <w:adjustRightInd w:val="0"/>
        <w:jc w:val="lowKashida"/>
      </w:pPr>
      <w:r w:rsidRPr="00080AE1">
        <w:t xml:space="preserve">   The used TC distribution </w:t>
      </w:r>
      <w:proofErr w:type="spellStart"/>
      <w:r w:rsidRPr="00080AE1">
        <w:t>scintiscan</w:t>
      </w:r>
      <w:proofErr w:type="spellEnd"/>
      <w:r w:rsidRPr="00080AE1">
        <w:t xml:space="preserve"> showed difficulties in differentiation between Graves' disease and toxic nodular </w:t>
      </w:r>
      <w:proofErr w:type="spellStart"/>
      <w:r w:rsidRPr="00080AE1">
        <w:t>goitre</w:t>
      </w:r>
      <w:proofErr w:type="spellEnd"/>
      <w:r w:rsidRPr="00080AE1">
        <w:t xml:space="preserve">. Previous study detected thyroid stimulating antibody in 11 of 18 (56 %) patient with TMG who showed diffuse but uneven TC distribution </w:t>
      </w:r>
      <w:proofErr w:type="spellStart"/>
      <w:r w:rsidRPr="00080AE1">
        <w:t>scintican</w:t>
      </w:r>
      <w:proofErr w:type="spellEnd"/>
      <w:r w:rsidRPr="00080AE1">
        <w:t xml:space="preserve">, so uneven distribution of TC </w:t>
      </w:r>
      <w:proofErr w:type="spellStart"/>
      <w:r w:rsidRPr="00080AE1">
        <w:t>scintican</w:t>
      </w:r>
      <w:proofErr w:type="spellEnd"/>
      <w:r w:rsidRPr="00080AE1">
        <w:t xml:space="preserve"> not exclude autoimmune thyroid (GD) </w:t>
      </w:r>
      <w:proofErr w:type="spellStart"/>
      <w:r w:rsidRPr="00080AE1">
        <w:t>Kraiem</w:t>
      </w:r>
      <w:proofErr w:type="spellEnd"/>
      <w:r w:rsidRPr="00080AE1">
        <w:t xml:space="preserve"> and Glaser studies [29].</w:t>
      </w:r>
      <w:r w:rsidRPr="00080AE1">
        <w:rPr>
          <w:color w:val="231F20"/>
        </w:rPr>
        <w:t xml:space="preserve">Also RAI therapy is commonly used in treatment of patient with hyperthyroidism, for patient with TMG the development of autoimmune hyper or hypothyroidism after RAI has been reported in 5% or 7% [30]. This consolidate that low echogenicity in </w:t>
      </w:r>
      <w:proofErr w:type="spellStart"/>
      <w:r w:rsidRPr="00080AE1">
        <w:rPr>
          <w:b/>
          <w:bCs/>
          <w:i/>
          <w:iCs/>
          <w:color w:val="231F20"/>
        </w:rPr>
        <w:t>UlS</w:t>
      </w:r>
      <w:proofErr w:type="spellEnd"/>
      <w:r w:rsidRPr="00080AE1">
        <w:rPr>
          <w:b/>
          <w:bCs/>
          <w:i/>
          <w:iCs/>
          <w:color w:val="231F20"/>
        </w:rPr>
        <w:t xml:space="preserve"> </w:t>
      </w:r>
      <w:r w:rsidRPr="00080AE1">
        <w:rPr>
          <w:color w:val="231F20"/>
        </w:rPr>
        <w:t xml:space="preserve">and uneven </w:t>
      </w:r>
      <w:proofErr w:type="spellStart"/>
      <w:r w:rsidRPr="00080AE1">
        <w:rPr>
          <w:color w:val="231F20"/>
        </w:rPr>
        <w:t>Tc</w:t>
      </w:r>
      <w:proofErr w:type="spellEnd"/>
      <w:r w:rsidRPr="00080AE1">
        <w:rPr>
          <w:color w:val="231F20"/>
        </w:rPr>
        <w:t xml:space="preserve"> distribution </w:t>
      </w:r>
      <w:proofErr w:type="spellStart"/>
      <w:r w:rsidRPr="00080AE1">
        <w:rPr>
          <w:color w:val="231F20"/>
        </w:rPr>
        <w:t>scintican</w:t>
      </w:r>
      <w:proofErr w:type="spellEnd"/>
      <w:r w:rsidRPr="00080AE1">
        <w:rPr>
          <w:color w:val="231F20"/>
        </w:rPr>
        <w:t xml:space="preserve"> </w:t>
      </w:r>
      <w:r w:rsidR="00672E5A" w:rsidRPr="00080AE1">
        <w:rPr>
          <w:color w:val="231F20"/>
        </w:rPr>
        <w:t>cannot</w:t>
      </w:r>
      <w:r w:rsidRPr="00080AE1">
        <w:rPr>
          <w:color w:val="231F20"/>
        </w:rPr>
        <w:t xml:space="preserve"> differentiations between autoimmune from </w:t>
      </w:r>
      <w:r w:rsidR="00672E5A" w:rsidRPr="00080AE1">
        <w:rPr>
          <w:color w:val="231F20"/>
        </w:rPr>
        <w:t>non-autoimmune</w:t>
      </w:r>
      <w:r w:rsidRPr="00080AE1">
        <w:rPr>
          <w:color w:val="231F20"/>
        </w:rPr>
        <w:t xml:space="preserve">         </w:t>
      </w:r>
    </w:p>
    <w:p w:rsidR="00B01315" w:rsidRPr="00080AE1" w:rsidRDefault="003753A5" w:rsidP="00B01315">
      <w:pPr>
        <w:tabs>
          <w:tab w:val="right" w:pos="360"/>
        </w:tabs>
        <w:autoSpaceDE w:val="0"/>
        <w:autoSpaceDN w:val="0"/>
        <w:bidi w:val="0"/>
        <w:adjustRightInd w:val="0"/>
        <w:jc w:val="lowKashida"/>
        <w:rPr>
          <w:color w:val="231F20"/>
        </w:rPr>
      </w:pPr>
      <w:r>
        <w:rPr>
          <w:color w:val="231F20"/>
        </w:rPr>
        <w:t xml:space="preserve">       </w:t>
      </w:r>
      <w:r w:rsidR="00B01315" w:rsidRPr="00080AE1">
        <w:rPr>
          <w:color w:val="231F20"/>
        </w:rPr>
        <w:t>The proximate cause of hyperthyroidism in patients with Graves’ disease is activation of TSHR on thyroid follicular cells by (</w:t>
      </w:r>
      <w:proofErr w:type="spellStart"/>
      <w:r w:rsidR="00B01315" w:rsidRPr="00080AE1">
        <w:rPr>
          <w:color w:val="231F20"/>
        </w:rPr>
        <w:t>TRAb</w:t>
      </w:r>
      <w:proofErr w:type="spellEnd"/>
      <w:r w:rsidR="00B01315" w:rsidRPr="00080AE1">
        <w:rPr>
          <w:color w:val="231F20"/>
        </w:rPr>
        <w:t>)</w:t>
      </w:r>
      <w:r w:rsidR="00B01315" w:rsidRPr="00080AE1">
        <w:rPr>
          <w:color w:val="231F20"/>
          <w:vertAlign w:val="superscript"/>
        </w:rPr>
        <w:t xml:space="preserve"> </w:t>
      </w:r>
      <w:r w:rsidR="00B01315" w:rsidRPr="00080AE1">
        <w:rPr>
          <w:color w:val="231F20"/>
        </w:rPr>
        <w:t xml:space="preserve">[31]. These receptors are composed of an extracellular amino-terminal domain and a </w:t>
      </w:r>
      <w:proofErr w:type="spellStart"/>
      <w:r w:rsidR="00B01315" w:rsidRPr="00080AE1">
        <w:rPr>
          <w:color w:val="231F20"/>
        </w:rPr>
        <w:t>transmembrane</w:t>
      </w:r>
      <w:proofErr w:type="spellEnd"/>
      <w:r w:rsidR="00B01315" w:rsidRPr="00080AE1">
        <w:rPr>
          <w:color w:val="231F20"/>
        </w:rPr>
        <w:t xml:space="preserve"> and intracellular domain. After insertion into the cell membrane the extracellular domain can be cleaved in two places, forming an A subunit and a B subunit, which are joined by disulfide bonds. The binding site (and epitope) for </w:t>
      </w:r>
      <w:proofErr w:type="spellStart"/>
      <w:r w:rsidR="00B01315" w:rsidRPr="00080AE1">
        <w:rPr>
          <w:color w:val="231F20"/>
        </w:rPr>
        <w:t>TRAb</w:t>
      </w:r>
      <w:proofErr w:type="spellEnd"/>
      <w:r w:rsidR="00B01315" w:rsidRPr="00080AE1">
        <w:rPr>
          <w:color w:val="231F20"/>
        </w:rPr>
        <w:t xml:space="preserve"> and the binding site for TSH overlap each other at the amino-terminal end of the A subunit. Previous studies of the reactivity of </w:t>
      </w:r>
      <w:proofErr w:type="spellStart"/>
      <w:r w:rsidR="00B01315" w:rsidRPr="00080AE1">
        <w:rPr>
          <w:color w:val="231F20"/>
        </w:rPr>
        <w:t>TSAb</w:t>
      </w:r>
      <w:proofErr w:type="spellEnd"/>
      <w:r w:rsidR="00B01315" w:rsidRPr="00080AE1">
        <w:rPr>
          <w:color w:val="231F20"/>
        </w:rPr>
        <w:t xml:space="preserve"> have suggested that the antibodies bind primarily to discontinuous segments of the amino-terminal domain of the TSH receptor [32], indicating that both conformation of the receptor and its amino-acid sequence are determinants of antibody </w:t>
      </w:r>
      <w:r w:rsidR="00B01315" w:rsidRPr="00080AE1">
        <w:rPr>
          <w:color w:val="231F20"/>
        </w:rPr>
        <w:lastRenderedPageBreak/>
        <w:t>reactivity; in other words the epitopes are conformational and structural.</w:t>
      </w:r>
    </w:p>
    <w:p w:rsidR="00B01315" w:rsidRPr="00080AE1" w:rsidRDefault="00B01315" w:rsidP="00B01315">
      <w:pPr>
        <w:autoSpaceDE w:val="0"/>
        <w:autoSpaceDN w:val="0"/>
        <w:bidi w:val="0"/>
        <w:adjustRightInd w:val="0"/>
        <w:jc w:val="lowKashida"/>
      </w:pPr>
      <w:r w:rsidRPr="00080AE1">
        <w:t xml:space="preserve">It can be concluded that as a practical method, </w:t>
      </w:r>
      <w:proofErr w:type="spellStart"/>
      <w:r w:rsidRPr="00080AE1">
        <w:t>TRAb</w:t>
      </w:r>
      <w:proofErr w:type="spellEnd"/>
      <w:r w:rsidRPr="00080AE1">
        <w:t xml:space="preserve"> assay may be useful in making a differential diagnosis of Graves' disease from other </w:t>
      </w:r>
      <w:r w:rsidR="00672E5A" w:rsidRPr="00080AE1">
        <w:t>non-Autoimmune</w:t>
      </w:r>
      <w:r w:rsidRPr="00080AE1">
        <w:t xml:space="preserve"> Thyroid Diseases (</w:t>
      </w:r>
      <w:proofErr w:type="spellStart"/>
      <w:r w:rsidRPr="00080AE1">
        <w:t>AlTD's</w:t>
      </w:r>
      <w:proofErr w:type="spellEnd"/>
      <w:r w:rsidRPr="00080AE1">
        <w:t>), for patients on our studies.</w:t>
      </w:r>
    </w:p>
    <w:p w:rsidR="00B01315" w:rsidRDefault="00B01315" w:rsidP="00B01315">
      <w:pPr>
        <w:autoSpaceDE w:val="0"/>
        <w:autoSpaceDN w:val="0"/>
        <w:bidi w:val="0"/>
        <w:adjustRightInd w:val="0"/>
        <w:jc w:val="lowKashida"/>
        <w:rPr>
          <w:b/>
          <w:bCs/>
        </w:rPr>
      </w:pPr>
    </w:p>
    <w:p w:rsidR="00B01315" w:rsidRPr="00080AE1" w:rsidRDefault="00B01315" w:rsidP="00B01315">
      <w:pPr>
        <w:autoSpaceDE w:val="0"/>
        <w:autoSpaceDN w:val="0"/>
        <w:bidi w:val="0"/>
        <w:adjustRightInd w:val="0"/>
        <w:jc w:val="lowKashida"/>
        <w:rPr>
          <w:b/>
          <w:bCs/>
          <w:u w:val="single"/>
        </w:rPr>
      </w:pPr>
      <w:r w:rsidRPr="00080AE1">
        <w:rPr>
          <w:b/>
          <w:bCs/>
          <w:u w:val="single"/>
        </w:rPr>
        <w:t>References</w:t>
      </w:r>
    </w:p>
    <w:p w:rsidR="00B01315" w:rsidRPr="00080AE1" w:rsidRDefault="00B01315" w:rsidP="00B01315">
      <w:pPr>
        <w:numPr>
          <w:ilvl w:val="0"/>
          <w:numId w:val="2"/>
        </w:numPr>
        <w:tabs>
          <w:tab w:val="right" w:pos="720"/>
        </w:tabs>
        <w:bidi w:val="0"/>
        <w:ind w:left="0" w:firstLine="0"/>
        <w:jc w:val="lowKashida"/>
        <w:rPr>
          <w:b/>
          <w:bCs/>
          <w:color w:val="000000"/>
          <w:lang w:bidi="ar-IQ"/>
        </w:rPr>
      </w:pPr>
      <w:proofErr w:type="spellStart"/>
      <w:r w:rsidRPr="00080AE1">
        <w:rPr>
          <w:color w:val="131313"/>
        </w:rPr>
        <w:t>Johnathan</w:t>
      </w:r>
      <w:proofErr w:type="spellEnd"/>
      <w:r w:rsidRPr="00080AE1">
        <w:rPr>
          <w:color w:val="131313"/>
        </w:rPr>
        <w:t xml:space="preserve"> G.H. Hubbard and Paul V. Carroll</w:t>
      </w:r>
      <w:r w:rsidRPr="00080AE1">
        <w:rPr>
          <w:color w:val="000000"/>
        </w:rPr>
        <w:t>.</w:t>
      </w:r>
      <w:r w:rsidRPr="00080AE1">
        <w:rPr>
          <w:color w:val="131313"/>
        </w:rPr>
        <w:t xml:space="preserve"> </w:t>
      </w:r>
      <w:r w:rsidRPr="00080AE1">
        <w:rPr>
          <w:color w:val="000000"/>
        </w:rPr>
        <w:t xml:space="preserve">Thyrotoxicosis and Thyroiditis: </w:t>
      </w:r>
      <w:proofErr w:type="spellStart"/>
      <w:r w:rsidRPr="00080AE1">
        <w:rPr>
          <w:color w:val="000000"/>
        </w:rPr>
        <w:t>Causes,Investigation</w:t>
      </w:r>
      <w:proofErr w:type="spellEnd"/>
      <w:r w:rsidRPr="00080AE1">
        <w:rPr>
          <w:color w:val="000000"/>
        </w:rPr>
        <w:t xml:space="preserve">, and Management </w:t>
      </w:r>
      <w:proofErr w:type="spellStart"/>
      <w:r w:rsidRPr="00080AE1">
        <w:rPr>
          <w:color w:val="000000"/>
        </w:rPr>
        <w:t>In:abss</w:t>
      </w:r>
      <w:proofErr w:type="spellEnd"/>
      <w:r w:rsidRPr="00080AE1">
        <w:rPr>
          <w:color w:val="000000"/>
        </w:rPr>
        <w:t xml:space="preserve"> William B. </w:t>
      </w:r>
      <w:proofErr w:type="spellStart"/>
      <w:r w:rsidRPr="00080AE1">
        <w:rPr>
          <w:color w:val="000000"/>
        </w:rPr>
        <w:t>Inabnet</w:t>
      </w:r>
      <w:proofErr w:type="spellEnd"/>
      <w:r w:rsidRPr="00080AE1">
        <w:rPr>
          <w:color w:val="000000"/>
        </w:rPr>
        <w:t>,</w:t>
      </w:r>
      <w:r w:rsidRPr="00080AE1">
        <w:rPr>
          <w:color w:val="131313"/>
        </w:rPr>
        <w:t xml:space="preserve"> </w:t>
      </w:r>
      <w:r w:rsidRPr="00080AE1">
        <w:rPr>
          <w:color w:val="000000"/>
        </w:rPr>
        <w:t>Chung-</w:t>
      </w:r>
      <w:proofErr w:type="spellStart"/>
      <w:r w:rsidRPr="00080AE1">
        <w:rPr>
          <w:color w:val="000000"/>
        </w:rPr>
        <w:t>Yau</w:t>
      </w:r>
      <w:proofErr w:type="spellEnd"/>
      <w:r w:rsidRPr="00080AE1">
        <w:rPr>
          <w:color w:val="000000"/>
        </w:rPr>
        <w:t xml:space="preserve"> Lo, eds. Endocrine surgery principles and practice. first ed.Springer,2009.pp(85-8).</w:t>
      </w:r>
    </w:p>
    <w:p w:rsidR="00B01315" w:rsidRPr="00080AE1" w:rsidRDefault="00B01315" w:rsidP="00B01315">
      <w:pPr>
        <w:numPr>
          <w:ilvl w:val="0"/>
          <w:numId w:val="2"/>
        </w:numPr>
        <w:tabs>
          <w:tab w:val="right" w:pos="720"/>
        </w:tabs>
        <w:bidi w:val="0"/>
        <w:ind w:left="0" w:firstLine="0"/>
        <w:jc w:val="lowKashida"/>
        <w:rPr>
          <w:rStyle w:val="A4"/>
          <w:sz w:val="24"/>
          <w:szCs w:val="24"/>
          <w:lang w:bidi="ar-IQ"/>
        </w:rPr>
      </w:pPr>
      <w:proofErr w:type="spellStart"/>
      <w:r w:rsidRPr="00080AE1">
        <w:rPr>
          <w:rStyle w:val="A4"/>
          <w:b w:val="0"/>
          <w:bCs w:val="0"/>
          <w:sz w:val="24"/>
          <w:szCs w:val="24"/>
        </w:rPr>
        <w:t>Mayne</w:t>
      </w:r>
      <w:proofErr w:type="spellEnd"/>
      <w:r w:rsidRPr="00080AE1">
        <w:rPr>
          <w:rStyle w:val="A4"/>
          <w:b w:val="0"/>
          <w:bCs w:val="0"/>
          <w:sz w:val="24"/>
          <w:szCs w:val="24"/>
        </w:rPr>
        <w:t>, P.D.(1998).Clinical Chemistry in Diagnosis and Treatment 6th. ed., Oxford University Press. Inc., P(158- 168).</w:t>
      </w:r>
    </w:p>
    <w:p w:rsidR="00B01315" w:rsidRPr="00080AE1" w:rsidRDefault="00B01315" w:rsidP="00B01315">
      <w:pPr>
        <w:numPr>
          <w:ilvl w:val="0"/>
          <w:numId w:val="2"/>
        </w:numPr>
        <w:tabs>
          <w:tab w:val="right" w:pos="720"/>
        </w:tabs>
        <w:bidi w:val="0"/>
        <w:ind w:left="0" w:firstLine="0"/>
        <w:jc w:val="lowKashida"/>
        <w:rPr>
          <w:rStyle w:val="A4"/>
          <w:sz w:val="24"/>
          <w:szCs w:val="24"/>
          <w:lang w:bidi="ar-IQ"/>
        </w:rPr>
      </w:pPr>
      <w:proofErr w:type="spellStart"/>
      <w:r w:rsidRPr="00080AE1">
        <w:rPr>
          <w:rStyle w:val="A4"/>
          <w:b w:val="0"/>
          <w:bCs w:val="0"/>
          <w:sz w:val="24"/>
          <w:szCs w:val="24"/>
        </w:rPr>
        <w:t>Kosugi</w:t>
      </w:r>
      <w:proofErr w:type="spellEnd"/>
      <w:r w:rsidRPr="00080AE1">
        <w:rPr>
          <w:rStyle w:val="A4"/>
          <w:b w:val="0"/>
          <w:bCs w:val="0"/>
          <w:sz w:val="24"/>
          <w:szCs w:val="24"/>
        </w:rPr>
        <w:t xml:space="preserve">, and Shinji (2002). Non –auto immune hyperthyroidism and </w:t>
      </w:r>
      <w:proofErr w:type="spellStart"/>
      <w:r w:rsidRPr="00080AE1">
        <w:rPr>
          <w:rStyle w:val="A4"/>
          <w:b w:val="0"/>
          <w:bCs w:val="0"/>
          <w:sz w:val="24"/>
          <w:szCs w:val="24"/>
        </w:rPr>
        <w:t>hyperfunctioning</w:t>
      </w:r>
      <w:proofErr w:type="spellEnd"/>
      <w:r w:rsidRPr="00080AE1">
        <w:rPr>
          <w:rStyle w:val="A4"/>
          <w:b w:val="0"/>
          <w:bCs w:val="0"/>
          <w:sz w:val="24"/>
          <w:szCs w:val="24"/>
        </w:rPr>
        <w:t xml:space="preserve"> thyroid adenomas caused by activating mutation of </w:t>
      </w:r>
      <w:proofErr w:type="spellStart"/>
      <w:r w:rsidRPr="00080AE1">
        <w:rPr>
          <w:rStyle w:val="A4"/>
          <w:b w:val="0"/>
          <w:bCs w:val="0"/>
          <w:sz w:val="24"/>
          <w:szCs w:val="24"/>
        </w:rPr>
        <w:t>thyrotropin</w:t>
      </w:r>
      <w:proofErr w:type="spellEnd"/>
      <w:r w:rsidRPr="00080AE1">
        <w:rPr>
          <w:rStyle w:val="A4"/>
          <w:b w:val="0"/>
          <w:bCs w:val="0"/>
          <w:sz w:val="24"/>
          <w:szCs w:val="24"/>
        </w:rPr>
        <w:t xml:space="preserve"> receptor. Nippon. </w:t>
      </w:r>
      <w:proofErr w:type="spellStart"/>
      <w:r w:rsidRPr="00080AE1">
        <w:rPr>
          <w:rStyle w:val="A4"/>
          <w:b w:val="0"/>
          <w:bCs w:val="0"/>
          <w:sz w:val="24"/>
          <w:szCs w:val="24"/>
        </w:rPr>
        <w:t>Rinsho</w:t>
      </w:r>
      <w:proofErr w:type="spellEnd"/>
      <w:r w:rsidRPr="00080AE1">
        <w:rPr>
          <w:rStyle w:val="A4"/>
          <w:b w:val="0"/>
          <w:bCs w:val="0"/>
          <w:sz w:val="24"/>
          <w:szCs w:val="24"/>
        </w:rPr>
        <w:t>., 60(2):91-6.</w:t>
      </w:r>
    </w:p>
    <w:p w:rsidR="00B01315" w:rsidRPr="00080AE1" w:rsidRDefault="00B01315" w:rsidP="00B01315">
      <w:pPr>
        <w:numPr>
          <w:ilvl w:val="0"/>
          <w:numId w:val="2"/>
        </w:numPr>
        <w:tabs>
          <w:tab w:val="right" w:pos="720"/>
        </w:tabs>
        <w:bidi w:val="0"/>
        <w:ind w:left="0" w:firstLine="0"/>
        <w:jc w:val="lowKashida"/>
        <w:rPr>
          <w:rStyle w:val="A4"/>
          <w:sz w:val="24"/>
          <w:szCs w:val="24"/>
          <w:lang w:bidi="ar-IQ"/>
        </w:rPr>
      </w:pPr>
      <w:r w:rsidRPr="00080AE1">
        <w:rPr>
          <w:rStyle w:val="A4"/>
          <w:b w:val="0"/>
          <w:bCs w:val="0"/>
          <w:sz w:val="24"/>
          <w:szCs w:val="24"/>
        </w:rPr>
        <w:t xml:space="preserve">Beck, P.; </w:t>
      </w:r>
      <w:proofErr w:type="spellStart"/>
      <w:r w:rsidRPr="00080AE1">
        <w:rPr>
          <w:rStyle w:val="A4"/>
          <w:b w:val="0"/>
          <w:bCs w:val="0"/>
          <w:sz w:val="24"/>
          <w:szCs w:val="24"/>
        </w:rPr>
        <w:t>Brucker,D</w:t>
      </w:r>
      <w:proofErr w:type="spellEnd"/>
      <w:r w:rsidRPr="00080AE1">
        <w:rPr>
          <w:rStyle w:val="A4"/>
          <w:b w:val="0"/>
          <w:bCs w:val="0"/>
          <w:sz w:val="24"/>
          <w:szCs w:val="24"/>
        </w:rPr>
        <w:t xml:space="preserve">. and </w:t>
      </w:r>
      <w:proofErr w:type="spellStart"/>
      <w:r w:rsidRPr="00080AE1">
        <w:rPr>
          <w:rStyle w:val="A4"/>
          <w:b w:val="0"/>
          <w:bCs w:val="0"/>
          <w:sz w:val="24"/>
          <w:szCs w:val="24"/>
        </w:rPr>
        <w:t>Persan</w:t>
      </w:r>
      <w:proofErr w:type="spellEnd"/>
      <w:r w:rsidRPr="00080AE1">
        <w:rPr>
          <w:rStyle w:val="A4"/>
          <w:b w:val="0"/>
          <w:bCs w:val="0"/>
          <w:sz w:val="24"/>
          <w:szCs w:val="24"/>
        </w:rPr>
        <w:t xml:space="preserve">, L. (1996). </w:t>
      </w:r>
      <w:proofErr w:type="spellStart"/>
      <w:r w:rsidRPr="00080AE1">
        <w:rPr>
          <w:rStyle w:val="A4"/>
          <w:b w:val="0"/>
          <w:bCs w:val="0"/>
          <w:sz w:val="24"/>
          <w:szCs w:val="24"/>
        </w:rPr>
        <w:t>Thyrotropin</w:t>
      </w:r>
      <w:proofErr w:type="spellEnd"/>
      <w:r w:rsidRPr="00080AE1">
        <w:rPr>
          <w:rStyle w:val="A4"/>
          <w:b w:val="0"/>
          <w:bCs w:val="0"/>
          <w:sz w:val="24"/>
          <w:szCs w:val="24"/>
        </w:rPr>
        <w:t xml:space="preserve"> – secreting pituitary tumors. </w:t>
      </w:r>
      <w:proofErr w:type="spellStart"/>
      <w:r w:rsidRPr="00080AE1">
        <w:rPr>
          <w:rStyle w:val="A4"/>
          <w:b w:val="0"/>
          <w:bCs w:val="0"/>
          <w:sz w:val="24"/>
          <w:szCs w:val="24"/>
        </w:rPr>
        <w:t>Endocrinol</w:t>
      </w:r>
      <w:proofErr w:type="spellEnd"/>
      <w:r w:rsidRPr="00080AE1">
        <w:rPr>
          <w:rStyle w:val="A4"/>
          <w:b w:val="0"/>
          <w:bCs w:val="0"/>
          <w:sz w:val="24"/>
          <w:szCs w:val="24"/>
        </w:rPr>
        <w:t>. Rev., 17(3):610- 638.</w:t>
      </w:r>
    </w:p>
    <w:p w:rsidR="00B01315" w:rsidRPr="00080AE1" w:rsidRDefault="00B01315" w:rsidP="00B01315">
      <w:pPr>
        <w:numPr>
          <w:ilvl w:val="0"/>
          <w:numId w:val="2"/>
        </w:numPr>
        <w:tabs>
          <w:tab w:val="right" w:pos="720"/>
        </w:tabs>
        <w:bidi w:val="0"/>
        <w:ind w:left="0" w:firstLine="0"/>
        <w:jc w:val="lowKashida"/>
        <w:rPr>
          <w:rStyle w:val="A4"/>
          <w:sz w:val="24"/>
          <w:szCs w:val="24"/>
          <w:lang w:bidi="ar-IQ"/>
        </w:rPr>
      </w:pPr>
      <w:r w:rsidRPr="00080AE1">
        <w:rPr>
          <w:rStyle w:val="A4"/>
          <w:b w:val="0"/>
          <w:bCs w:val="0"/>
          <w:sz w:val="24"/>
          <w:szCs w:val="24"/>
        </w:rPr>
        <w:t>AL-</w:t>
      </w:r>
      <w:proofErr w:type="spellStart"/>
      <w:r w:rsidRPr="00080AE1">
        <w:rPr>
          <w:rStyle w:val="A4"/>
          <w:b w:val="0"/>
          <w:bCs w:val="0"/>
          <w:sz w:val="24"/>
          <w:szCs w:val="24"/>
        </w:rPr>
        <w:t>Rawi</w:t>
      </w:r>
      <w:proofErr w:type="spellEnd"/>
      <w:r w:rsidRPr="00080AE1">
        <w:rPr>
          <w:rStyle w:val="A4"/>
          <w:b w:val="0"/>
          <w:bCs w:val="0"/>
          <w:sz w:val="24"/>
          <w:szCs w:val="24"/>
        </w:rPr>
        <w:t>, R.; AL-</w:t>
      </w:r>
      <w:proofErr w:type="spellStart"/>
      <w:r w:rsidRPr="00080AE1">
        <w:rPr>
          <w:rStyle w:val="A4"/>
          <w:b w:val="0"/>
          <w:bCs w:val="0"/>
          <w:sz w:val="24"/>
          <w:szCs w:val="24"/>
        </w:rPr>
        <w:t>Duliami</w:t>
      </w:r>
      <w:proofErr w:type="spellEnd"/>
      <w:r w:rsidRPr="00080AE1">
        <w:rPr>
          <w:rStyle w:val="A4"/>
          <w:b w:val="0"/>
          <w:bCs w:val="0"/>
          <w:sz w:val="24"/>
          <w:szCs w:val="24"/>
        </w:rPr>
        <w:t xml:space="preserve">, K. S.; and AL- </w:t>
      </w:r>
      <w:proofErr w:type="spellStart"/>
      <w:r w:rsidRPr="00080AE1">
        <w:rPr>
          <w:rStyle w:val="A4"/>
          <w:b w:val="0"/>
          <w:bCs w:val="0"/>
          <w:sz w:val="24"/>
          <w:szCs w:val="24"/>
        </w:rPr>
        <w:t>Sammeraie</w:t>
      </w:r>
      <w:proofErr w:type="spellEnd"/>
      <w:r w:rsidRPr="00080AE1">
        <w:rPr>
          <w:rStyle w:val="A4"/>
          <w:b w:val="0"/>
          <w:bCs w:val="0"/>
          <w:sz w:val="24"/>
          <w:szCs w:val="24"/>
        </w:rPr>
        <w:t xml:space="preserve">, A.K.(2003). The role of thyroglobulin and iodine in goiter development. J. Basic Med. </w:t>
      </w:r>
      <w:proofErr w:type="spellStart"/>
      <w:r w:rsidRPr="00080AE1">
        <w:rPr>
          <w:rStyle w:val="A4"/>
          <w:b w:val="0"/>
          <w:bCs w:val="0"/>
          <w:sz w:val="24"/>
          <w:szCs w:val="24"/>
        </w:rPr>
        <w:t>Scie</w:t>
      </w:r>
      <w:proofErr w:type="spellEnd"/>
      <w:r w:rsidRPr="00080AE1">
        <w:rPr>
          <w:rStyle w:val="A4"/>
          <w:b w:val="0"/>
          <w:bCs w:val="0"/>
          <w:sz w:val="24"/>
          <w:szCs w:val="24"/>
        </w:rPr>
        <w:t>., 3(4):551-556.</w:t>
      </w:r>
    </w:p>
    <w:p w:rsidR="00B01315" w:rsidRPr="00080AE1" w:rsidRDefault="00B01315" w:rsidP="00B01315">
      <w:pPr>
        <w:numPr>
          <w:ilvl w:val="0"/>
          <w:numId w:val="2"/>
        </w:numPr>
        <w:tabs>
          <w:tab w:val="right" w:pos="720"/>
        </w:tabs>
        <w:bidi w:val="0"/>
        <w:ind w:left="0" w:firstLine="0"/>
        <w:jc w:val="lowKashida"/>
        <w:rPr>
          <w:rStyle w:val="A4"/>
          <w:sz w:val="24"/>
          <w:szCs w:val="24"/>
          <w:lang w:bidi="ar-IQ"/>
        </w:rPr>
      </w:pPr>
      <w:proofErr w:type="spellStart"/>
      <w:r w:rsidRPr="00080AE1">
        <w:rPr>
          <w:rStyle w:val="A4"/>
          <w:b w:val="0"/>
          <w:bCs w:val="0"/>
          <w:sz w:val="24"/>
          <w:szCs w:val="24"/>
        </w:rPr>
        <w:t>Summaria</w:t>
      </w:r>
      <w:proofErr w:type="spellEnd"/>
      <w:r w:rsidRPr="00080AE1">
        <w:rPr>
          <w:rStyle w:val="A4"/>
          <w:b w:val="0"/>
          <w:bCs w:val="0"/>
          <w:sz w:val="24"/>
          <w:szCs w:val="24"/>
        </w:rPr>
        <w:t xml:space="preserve">, V.; </w:t>
      </w:r>
      <w:proofErr w:type="spellStart"/>
      <w:r w:rsidRPr="00080AE1">
        <w:rPr>
          <w:rStyle w:val="A4"/>
          <w:b w:val="0"/>
          <w:bCs w:val="0"/>
          <w:sz w:val="24"/>
          <w:szCs w:val="24"/>
        </w:rPr>
        <w:t>Salvatori</w:t>
      </w:r>
      <w:proofErr w:type="spellEnd"/>
      <w:r w:rsidRPr="00080AE1">
        <w:rPr>
          <w:rStyle w:val="A4"/>
          <w:b w:val="0"/>
          <w:bCs w:val="0"/>
          <w:sz w:val="24"/>
          <w:szCs w:val="24"/>
        </w:rPr>
        <w:t xml:space="preserve">, M.; </w:t>
      </w:r>
      <w:proofErr w:type="spellStart"/>
      <w:r w:rsidRPr="00080AE1">
        <w:rPr>
          <w:rStyle w:val="A4"/>
          <w:b w:val="0"/>
          <w:bCs w:val="0"/>
          <w:sz w:val="24"/>
          <w:szCs w:val="24"/>
        </w:rPr>
        <w:t>Rufini</w:t>
      </w:r>
      <w:proofErr w:type="spellEnd"/>
      <w:r w:rsidRPr="00080AE1">
        <w:rPr>
          <w:rStyle w:val="A4"/>
          <w:b w:val="0"/>
          <w:bCs w:val="0"/>
          <w:sz w:val="24"/>
          <w:szCs w:val="24"/>
        </w:rPr>
        <w:t xml:space="preserve">, V.; </w:t>
      </w:r>
      <w:proofErr w:type="spellStart"/>
      <w:r w:rsidRPr="00080AE1">
        <w:rPr>
          <w:rStyle w:val="A4"/>
          <w:b w:val="0"/>
          <w:bCs w:val="0"/>
          <w:sz w:val="24"/>
          <w:szCs w:val="24"/>
        </w:rPr>
        <w:t>Mirk</w:t>
      </w:r>
      <w:proofErr w:type="spellEnd"/>
      <w:r w:rsidRPr="00080AE1">
        <w:rPr>
          <w:rStyle w:val="A4"/>
          <w:b w:val="0"/>
          <w:bCs w:val="0"/>
          <w:sz w:val="24"/>
          <w:szCs w:val="24"/>
        </w:rPr>
        <w:t xml:space="preserve">, P.; and </w:t>
      </w:r>
      <w:proofErr w:type="spellStart"/>
      <w:r w:rsidRPr="00080AE1">
        <w:rPr>
          <w:rStyle w:val="A4"/>
          <w:b w:val="0"/>
          <w:bCs w:val="0"/>
          <w:sz w:val="24"/>
          <w:szCs w:val="24"/>
        </w:rPr>
        <w:t>Garganese</w:t>
      </w:r>
      <w:proofErr w:type="spellEnd"/>
      <w:r w:rsidRPr="00080AE1">
        <w:rPr>
          <w:rStyle w:val="A4"/>
          <w:b w:val="0"/>
          <w:bCs w:val="0"/>
          <w:sz w:val="24"/>
          <w:szCs w:val="24"/>
        </w:rPr>
        <w:t>, M.C. (1999). Diagnostic imaging in thyrotoxicosis. Rays. 24 (2):273-300.</w:t>
      </w:r>
    </w:p>
    <w:p w:rsidR="00B01315" w:rsidRPr="00080AE1" w:rsidRDefault="00B01315" w:rsidP="00B01315">
      <w:pPr>
        <w:numPr>
          <w:ilvl w:val="0"/>
          <w:numId w:val="2"/>
        </w:numPr>
        <w:tabs>
          <w:tab w:val="right" w:pos="720"/>
        </w:tabs>
        <w:bidi w:val="0"/>
        <w:ind w:left="0" w:firstLine="0"/>
        <w:jc w:val="lowKashida"/>
        <w:rPr>
          <w:rStyle w:val="A4"/>
          <w:sz w:val="24"/>
          <w:szCs w:val="24"/>
          <w:lang w:bidi="ar-IQ"/>
        </w:rPr>
      </w:pPr>
      <w:r w:rsidRPr="00080AE1">
        <w:rPr>
          <w:rStyle w:val="A4"/>
          <w:b w:val="0"/>
          <w:bCs w:val="0"/>
          <w:sz w:val="24"/>
          <w:szCs w:val="24"/>
        </w:rPr>
        <w:t>Greenspan, F. and Gardner, D. (2001). Basic and Clinical Endocrinology. 6th.ed. McGraw- Hill Medical Publishing. Philadelphia, P (201-212).</w:t>
      </w:r>
    </w:p>
    <w:p w:rsidR="00B01315" w:rsidRPr="00080AE1" w:rsidRDefault="00B01315" w:rsidP="00B01315">
      <w:pPr>
        <w:numPr>
          <w:ilvl w:val="0"/>
          <w:numId w:val="2"/>
        </w:numPr>
        <w:tabs>
          <w:tab w:val="right" w:pos="720"/>
        </w:tabs>
        <w:bidi w:val="0"/>
        <w:ind w:left="0" w:firstLine="0"/>
        <w:jc w:val="lowKashida"/>
        <w:rPr>
          <w:b/>
          <w:bCs/>
          <w:color w:val="000000"/>
          <w:lang w:bidi="ar-IQ"/>
        </w:rPr>
      </w:pPr>
      <w:proofErr w:type="spellStart"/>
      <w:r w:rsidRPr="00080AE1">
        <w:rPr>
          <w:lang w:bidi="ar-IQ"/>
        </w:rPr>
        <w:t>Zygmunt</w:t>
      </w:r>
      <w:proofErr w:type="spellEnd"/>
      <w:r w:rsidRPr="00080AE1">
        <w:rPr>
          <w:lang w:bidi="ar-IQ"/>
        </w:rPr>
        <w:t xml:space="preserve"> </w:t>
      </w:r>
      <w:proofErr w:type="spellStart"/>
      <w:r w:rsidRPr="00080AE1">
        <w:rPr>
          <w:lang w:bidi="ar-IQ"/>
        </w:rPr>
        <w:t>H.Krukowski.Bailey</w:t>
      </w:r>
      <w:proofErr w:type="spellEnd"/>
      <w:r w:rsidRPr="00080AE1">
        <w:rPr>
          <w:lang w:bidi="ar-IQ"/>
        </w:rPr>
        <w:t xml:space="preserve"> &amp; Love's Short practice of surgery. </w:t>
      </w:r>
      <w:proofErr w:type="spellStart"/>
      <w:r w:rsidRPr="00080AE1">
        <w:rPr>
          <w:lang w:bidi="ar-IQ"/>
        </w:rPr>
        <w:t>In:abss</w:t>
      </w:r>
      <w:proofErr w:type="spellEnd"/>
      <w:r w:rsidRPr="00080AE1">
        <w:rPr>
          <w:lang w:bidi="ar-IQ"/>
        </w:rPr>
        <w:t xml:space="preserve"> Norman </w:t>
      </w:r>
      <w:proofErr w:type="spellStart"/>
      <w:r w:rsidRPr="00080AE1">
        <w:rPr>
          <w:lang w:bidi="ar-IQ"/>
        </w:rPr>
        <w:t>S.Williams,Christopher</w:t>
      </w:r>
      <w:proofErr w:type="spellEnd"/>
      <w:r w:rsidRPr="00080AE1">
        <w:rPr>
          <w:lang w:bidi="ar-IQ"/>
        </w:rPr>
        <w:t xml:space="preserve"> </w:t>
      </w:r>
      <w:proofErr w:type="spellStart"/>
      <w:r w:rsidRPr="00080AE1">
        <w:rPr>
          <w:lang w:bidi="ar-IQ"/>
        </w:rPr>
        <w:t>J.K.Bulstrode,P.Ronan</w:t>
      </w:r>
      <w:proofErr w:type="spellEnd"/>
      <w:r w:rsidRPr="00080AE1">
        <w:rPr>
          <w:lang w:bidi="ar-IQ"/>
        </w:rPr>
        <w:t xml:space="preserve"> </w:t>
      </w:r>
      <w:proofErr w:type="spellStart"/>
      <w:r w:rsidRPr="00080AE1">
        <w:rPr>
          <w:lang w:bidi="ar-IQ"/>
        </w:rPr>
        <w:t>O</w:t>
      </w:r>
      <w:r w:rsidRPr="00080AE1">
        <w:rPr>
          <w:vertAlign w:val="superscript"/>
          <w:lang w:bidi="ar-IQ"/>
        </w:rPr>
        <w:t>,</w:t>
      </w:r>
      <w:r w:rsidRPr="00080AE1">
        <w:rPr>
          <w:lang w:bidi="ar-IQ"/>
        </w:rPr>
        <w:t>Connell,eds.The</w:t>
      </w:r>
      <w:proofErr w:type="spellEnd"/>
      <w:r w:rsidRPr="00080AE1">
        <w:rPr>
          <w:lang w:bidi="ar-IQ"/>
        </w:rPr>
        <w:t xml:space="preserve"> thyroid and parathyroid glands.25</w:t>
      </w:r>
      <w:r w:rsidRPr="00080AE1">
        <w:rPr>
          <w:vertAlign w:val="superscript"/>
          <w:lang w:bidi="ar-IQ"/>
        </w:rPr>
        <w:t>th</w:t>
      </w:r>
      <w:r w:rsidRPr="00080AE1">
        <w:rPr>
          <w:lang w:bidi="ar-IQ"/>
        </w:rPr>
        <w:t xml:space="preserve"> edition. Edward Arnold,2008:p(783-7).</w:t>
      </w:r>
    </w:p>
    <w:p w:rsidR="00B01315" w:rsidRPr="00080AE1" w:rsidRDefault="00B01315" w:rsidP="00B01315">
      <w:pPr>
        <w:numPr>
          <w:ilvl w:val="0"/>
          <w:numId w:val="2"/>
        </w:numPr>
        <w:tabs>
          <w:tab w:val="right" w:pos="720"/>
        </w:tabs>
        <w:bidi w:val="0"/>
        <w:ind w:left="0" w:firstLine="0"/>
        <w:jc w:val="lowKashida"/>
        <w:rPr>
          <w:b/>
          <w:bCs/>
          <w:color w:val="000000"/>
          <w:lang w:bidi="ar-IQ"/>
        </w:rPr>
      </w:pPr>
      <w:proofErr w:type="spellStart"/>
      <w:r w:rsidRPr="00080AE1">
        <w:lastRenderedPageBreak/>
        <w:t>Hoogendoorn</w:t>
      </w:r>
      <w:proofErr w:type="spellEnd"/>
      <w:r w:rsidRPr="00080AE1">
        <w:t xml:space="preserve"> H., </w:t>
      </w:r>
      <w:proofErr w:type="spellStart"/>
      <w:r w:rsidRPr="00080AE1">
        <w:t>Heijer</w:t>
      </w:r>
      <w:proofErr w:type="spellEnd"/>
      <w:r w:rsidRPr="00080AE1">
        <w:t xml:space="preserve"> M., </w:t>
      </w:r>
      <w:proofErr w:type="spellStart"/>
      <w:r w:rsidRPr="00080AE1">
        <w:t>Jvan</w:t>
      </w:r>
      <w:proofErr w:type="spellEnd"/>
      <w:r w:rsidRPr="00080AE1">
        <w:t xml:space="preserve"> D., </w:t>
      </w:r>
      <w:proofErr w:type="spellStart"/>
      <w:r w:rsidRPr="00080AE1">
        <w:t>Hermus</w:t>
      </w:r>
      <w:proofErr w:type="spellEnd"/>
      <w:r w:rsidRPr="00080AE1">
        <w:t xml:space="preserve"> R., (2004). Subclinical</w:t>
      </w:r>
    </w:p>
    <w:p w:rsidR="00B01315" w:rsidRPr="00080AE1" w:rsidRDefault="00B01315" w:rsidP="00B01315">
      <w:pPr>
        <w:autoSpaceDE w:val="0"/>
        <w:autoSpaceDN w:val="0"/>
        <w:bidi w:val="0"/>
        <w:adjustRightInd w:val="0"/>
        <w:jc w:val="lowKashida"/>
      </w:pPr>
      <w:r w:rsidRPr="00080AE1">
        <w:t xml:space="preserve">     hyperthyroidism. </w:t>
      </w:r>
      <w:proofErr w:type="spellStart"/>
      <w:r w:rsidRPr="00080AE1">
        <w:rPr>
          <w:i/>
          <w:iCs/>
        </w:rPr>
        <w:t>Postgrade</w:t>
      </w:r>
      <w:proofErr w:type="spellEnd"/>
      <w:r w:rsidRPr="00080AE1">
        <w:rPr>
          <w:i/>
          <w:iCs/>
        </w:rPr>
        <w:t xml:space="preserve"> Med. Jour</w:t>
      </w:r>
      <w:r w:rsidRPr="00080AE1">
        <w:t>: 80:394-398.</w:t>
      </w:r>
    </w:p>
    <w:p w:rsidR="00B01315" w:rsidRPr="00080AE1" w:rsidRDefault="00B01315" w:rsidP="00B01315">
      <w:pPr>
        <w:numPr>
          <w:ilvl w:val="0"/>
          <w:numId w:val="2"/>
        </w:numPr>
        <w:autoSpaceDE w:val="0"/>
        <w:autoSpaceDN w:val="0"/>
        <w:bidi w:val="0"/>
        <w:adjustRightInd w:val="0"/>
        <w:ind w:left="0" w:firstLine="0"/>
        <w:jc w:val="lowKashida"/>
      </w:pPr>
      <w:r w:rsidRPr="00080AE1">
        <w:rPr>
          <w:lang w:bidi="ar-IQ"/>
        </w:rPr>
        <w:t>Simon H. S. Pearce, MD, FRCP.</w:t>
      </w:r>
      <w:r w:rsidRPr="00080AE1">
        <w:t xml:space="preserve"> Graves’ </w:t>
      </w:r>
      <w:proofErr w:type="spellStart"/>
      <w:r w:rsidRPr="00080AE1">
        <w:t>Disease.In</w:t>
      </w:r>
      <w:proofErr w:type="spellEnd"/>
      <w:r w:rsidRPr="00080AE1">
        <w:t xml:space="preserve">: </w:t>
      </w:r>
      <w:proofErr w:type="spellStart"/>
      <w:r w:rsidRPr="00080AE1">
        <w:t>abss</w:t>
      </w:r>
      <w:proofErr w:type="spellEnd"/>
      <w:r w:rsidRPr="00080AE1">
        <w:t xml:space="preserve"> Anthony P. </w:t>
      </w:r>
      <w:proofErr w:type="spellStart"/>
      <w:r w:rsidRPr="00080AE1">
        <w:t>Weetman</w:t>
      </w:r>
      <w:proofErr w:type="spellEnd"/>
      <w:r w:rsidRPr="00080AE1">
        <w:t xml:space="preserve">, md, </w:t>
      </w:r>
      <w:proofErr w:type="spellStart"/>
      <w:r w:rsidRPr="00080AE1">
        <w:t>dsc</w:t>
      </w:r>
      <w:proofErr w:type="spellEnd"/>
      <w:r w:rsidRPr="00080AE1">
        <w:t xml:space="preserve">, </w:t>
      </w:r>
      <w:proofErr w:type="spellStart"/>
      <w:r w:rsidRPr="00080AE1">
        <w:t>eds.Autoimmune</w:t>
      </w:r>
      <w:proofErr w:type="spellEnd"/>
      <w:r w:rsidRPr="00080AE1">
        <w:t xml:space="preserve"> Diseases in Endocrinology.  First </w:t>
      </w:r>
      <w:proofErr w:type="spellStart"/>
      <w:r w:rsidRPr="00080AE1">
        <w:t>ed.Totowa</w:t>
      </w:r>
      <w:proofErr w:type="spellEnd"/>
      <w:r w:rsidRPr="00080AE1">
        <w:t>, New Jersey, 2008.pp(117-124).</w:t>
      </w:r>
    </w:p>
    <w:p w:rsidR="00B01315" w:rsidRPr="00080AE1" w:rsidRDefault="00B01315" w:rsidP="00B01315">
      <w:pPr>
        <w:numPr>
          <w:ilvl w:val="0"/>
          <w:numId w:val="2"/>
        </w:numPr>
        <w:autoSpaceDE w:val="0"/>
        <w:autoSpaceDN w:val="0"/>
        <w:bidi w:val="0"/>
        <w:adjustRightInd w:val="0"/>
        <w:ind w:left="0" w:firstLine="0"/>
        <w:jc w:val="lowKashida"/>
      </w:pPr>
      <w:proofErr w:type="spellStart"/>
      <w:r w:rsidRPr="00080AE1">
        <w:t>Michaleka</w:t>
      </w:r>
      <w:proofErr w:type="spellEnd"/>
      <w:r w:rsidRPr="00080AE1">
        <w:t>, K., et al., TSH receptor autoantibodies</w:t>
      </w:r>
      <w:r w:rsidRPr="00080AE1">
        <w:rPr>
          <w:i/>
          <w:iCs/>
        </w:rPr>
        <w:t xml:space="preserve">. </w:t>
      </w:r>
      <w:r w:rsidRPr="00080AE1">
        <w:t>Autoimmunity Reviews,2009. Article in Press, Corrected Proof.</w:t>
      </w:r>
    </w:p>
    <w:p w:rsidR="00B01315" w:rsidRPr="00080AE1" w:rsidRDefault="00B01315" w:rsidP="00B01315">
      <w:pPr>
        <w:numPr>
          <w:ilvl w:val="0"/>
          <w:numId w:val="2"/>
        </w:numPr>
        <w:autoSpaceDE w:val="0"/>
        <w:autoSpaceDN w:val="0"/>
        <w:bidi w:val="0"/>
        <w:adjustRightInd w:val="0"/>
        <w:ind w:left="0" w:firstLine="0"/>
        <w:jc w:val="lowKashida"/>
      </w:pPr>
      <w:r w:rsidRPr="00080AE1">
        <w:t>Sinclair, D., Analytical aspects of thyroid antibodies estimation</w:t>
      </w:r>
      <w:r w:rsidRPr="00080AE1">
        <w:rPr>
          <w:i/>
          <w:iCs/>
        </w:rPr>
        <w:t xml:space="preserve">. </w:t>
      </w:r>
      <w:r w:rsidRPr="00080AE1">
        <w:t>Autoimmunity,2008. 41(1): p. 46.</w:t>
      </w:r>
    </w:p>
    <w:p w:rsidR="00B01315" w:rsidRPr="008D0D4F" w:rsidRDefault="00B01315" w:rsidP="00B01315">
      <w:pPr>
        <w:numPr>
          <w:ilvl w:val="0"/>
          <w:numId w:val="2"/>
        </w:numPr>
        <w:autoSpaceDE w:val="0"/>
        <w:autoSpaceDN w:val="0"/>
        <w:bidi w:val="0"/>
        <w:adjustRightInd w:val="0"/>
        <w:ind w:left="0" w:firstLine="0"/>
        <w:jc w:val="lowKashida"/>
      </w:pPr>
      <w:r w:rsidRPr="00080AE1">
        <w:t>Gross, M.D., et al., Radioiodine therapy of Grave’s disease, in Graves' Disease</w:t>
      </w:r>
      <w:r w:rsidRPr="00080AE1">
        <w:rPr>
          <w:color w:val="000000"/>
        </w:rPr>
        <w:t xml:space="preserve"> </w:t>
      </w:r>
      <w:r w:rsidRPr="00080AE1">
        <w:t xml:space="preserve">Pathogenesis and Treatment, B. </w:t>
      </w:r>
      <w:proofErr w:type="spellStart"/>
      <w:r w:rsidRPr="00080AE1">
        <w:t>Rapoport</w:t>
      </w:r>
      <w:proofErr w:type="spellEnd"/>
      <w:r w:rsidRPr="00080AE1">
        <w:t xml:space="preserve"> and S.M. McLachlan, Editors. 2000</w:t>
      </w:r>
      <w:r w:rsidRPr="008D0D4F">
        <w:t>,</w:t>
      </w:r>
      <w:r w:rsidRPr="008D0D4F">
        <w:rPr>
          <w:color w:val="000000"/>
        </w:rPr>
        <w:t xml:space="preserve"> </w:t>
      </w:r>
      <w:r w:rsidRPr="008D0D4F">
        <w:t>Kluwer Academic Publishers: Norwell MA. p. 154 -155.</w:t>
      </w:r>
    </w:p>
    <w:p w:rsidR="00B01315" w:rsidRPr="008D0D4F" w:rsidRDefault="00B01315" w:rsidP="00B01315">
      <w:pPr>
        <w:numPr>
          <w:ilvl w:val="0"/>
          <w:numId w:val="2"/>
        </w:numPr>
        <w:tabs>
          <w:tab w:val="right" w:pos="720"/>
        </w:tabs>
        <w:bidi w:val="0"/>
        <w:ind w:left="0" w:firstLine="0"/>
        <w:jc w:val="lowKashida"/>
        <w:rPr>
          <w:rStyle w:val="A00"/>
          <w:sz w:val="24"/>
          <w:szCs w:val="24"/>
          <w:lang w:bidi="ar-IQ"/>
        </w:rPr>
      </w:pPr>
      <w:proofErr w:type="spellStart"/>
      <w:r w:rsidRPr="008D0D4F">
        <w:rPr>
          <w:rStyle w:val="A00"/>
          <w:b w:val="0"/>
          <w:bCs w:val="0"/>
          <w:sz w:val="24"/>
          <w:szCs w:val="24"/>
        </w:rPr>
        <w:t>Sujata</w:t>
      </w:r>
      <w:proofErr w:type="spellEnd"/>
      <w:r w:rsidRPr="008D0D4F">
        <w:rPr>
          <w:rStyle w:val="A00"/>
          <w:b w:val="0"/>
          <w:bCs w:val="0"/>
          <w:sz w:val="24"/>
          <w:szCs w:val="24"/>
        </w:rPr>
        <w:t xml:space="preserve"> </w:t>
      </w:r>
      <w:proofErr w:type="spellStart"/>
      <w:r w:rsidRPr="008D0D4F">
        <w:rPr>
          <w:rStyle w:val="A00"/>
          <w:b w:val="0"/>
          <w:bCs w:val="0"/>
          <w:sz w:val="24"/>
          <w:szCs w:val="24"/>
        </w:rPr>
        <w:t>M.Hyperthyroidism</w:t>
      </w:r>
      <w:proofErr w:type="spellEnd"/>
      <w:r w:rsidRPr="008D0D4F">
        <w:rPr>
          <w:rStyle w:val="A00"/>
          <w:b w:val="0"/>
          <w:bCs w:val="0"/>
          <w:sz w:val="24"/>
          <w:szCs w:val="24"/>
        </w:rPr>
        <w:t xml:space="preserve"> diagnosis and </w:t>
      </w:r>
      <w:proofErr w:type="spellStart"/>
      <w:r w:rsidRPr="008D0D4F">
        <w:rPr>
          <w:rStyle w:val="A00"/>
          <w:b w:val="0"/>
          <w:bCs w:val="0"/>
          <w:sz w:val="24"/>
          <w:szCs w:val="24"/>
        </w:rPr>
        <w:t>management.In:abss</w:t>
      </w:r>
      <w:proofErr w:type="spellEnd"/>
      <w:r w:rsidRPr="008D0D4F">
        <w:rPr>
          <w:rStyle w:val="A00"/>
          <w:b w:val="0"/>
          <w:bCs w:val="0"/>
          <w:sz w:val="24"/>
          <w:szCs w:val="24"/>
        </w:rPr>
        <w:t xml:space="preserve"> </w:t>
      </w:r>
      <w:proofErr w:type="spellStart"/>
      <w:r w:rsidRPr="008D0D4F">
        <w:rPr>
          <w:rStyle w:val="A00"/>
          <w:b w:val="0"/>
          <w:bCs w:val="0"/>
          <w:sz w:val="24"/>
          <w:szCs w:val="24"/>
        </w:rPr>
        <w:t>A,Biplab</w:t>
      </w:r>
      <w:proofErr w:type="spellEnd"/>
      <w:r w:rsidRPr="008D0D4F">
        <w:rPr>
          <w:rStyle w:val="A00"/>
          <w:b w:val="0"/>
          <w:bCs w:val="0"/>
          <w:sz w:val="24"/>
          <w:szCs w:val="24"/>
        </w:rPr>
        <w:t xml:space="preserve"> D, </w:t>
      </w:r>
      <w:proofErr w:type="spellStart"/>
      <w:r w:rsidRPr="008D0D4F">
        <w:rPr>
          <w:rStyle w:val="A00"/>
          <w:b w:val="0"/>
          <w:bCs w:val="0"/>
          <w:sz w:val="24"/>
          <w:szCs w:val="24"/>
        </w:rPr>
        <w:t>Mamta</w:t>
      </w:r>
      <w:proofErr w:type="spellEnd"/>
      <w:r w:rsidRPr="008D0D4F">
        <w:rPr>
          <w:rStyle w:val="A00"/>
          <w:b w:val="0"/>
          <w:bCs w:val="0"/>
          <w:sz w:val="24"/>
          <w:szCs w:val="24"/>
        </w:rPr>
        <w:t xml:space="preserve"> R, </w:t>
      </w:r>
      <w:proofErr w:type="spellStart"/>
      <w:r w:rsidRPr="008D0D4F">
        <w:rPr>
          <w:rStyle w:val="A00"/>
          <w:b w:val="0"/>
          <w:bCs w:val="0"/>
          <w:sz w:val="24"/>
          <w:szCs w:val="24"/>
        </w:rPr>
        <w:t>Muammer</w:t>
      </w:r>
      <w:proofErr w:type="spellEnd"/>
      <w:r w:rsidRPr="008D0D4F">
        <w:rPr>
          <w:rStyle w:val="A00"/>
          <w:b w:val="0"/>
          <w:bCs w:val="0"/>
          <w:sz w:val="24"/>
          <w:szCs w:val="24"/>
        </w:rPr>
        <w:t xml:space="preserve"> U, Raja data, </w:t>
      </w:r>
      <w:proofErr w:type="spellStart"/>
      <w:r w:rsidRPr="008D0D4F">
        <w:rPr>
          <w:rStyle w:val="A00"/>
          <w:b w:val="0"/>
          <w:bCs w:val="0"/>
          <w:sz w:val="24"/>
          <w:szCs w:val="24"/>
        </w:rPr>
        <w:t>Sudhir</w:t>
      </w:r>
      <w:proofErr w:type="spellEnd"/>
      <w:r w:rsidRPr="008D0D4F">
        <w:rPr>
          <w:rStyle w:val="A00"/>
          <w:b w:val="0"/>
          <w:bCs w:val="0"/>
          <w:sz w:val="24"/>
          <w:szCs w:val="24"/>
        </w:rPr>
        <w:t xml:space="preserve"> M, </w:t>
      </w:r>
      <w:proofErr w:type="spellStart"/>
      <w:r w:rsidRPr="008D0D4F">
        <w:rPr>
          <w:rStyle w:val="A00"/>
          <w:b w:val="0"/>
          <w:bCs w:val="0"/>
          <w:sz w:val="24"/>
          <w:szCs w:val="24"/>
        </w:rPr>
        <w:t>Sujata</w:t>
      </w:r>
      <w:proofErr w:type="spellEnd"/>
      <w:r w:rsidRPr="008D0D4F">
        <w:rPr>
          <w:rStyle w:val="A00"/>
          <w:b w:val="0"/>
          <w:bCs w:val="0"/>
          <w:sz w:val="24"/>
          <w:szCs w:val="24"/>
        </w:rPr>
        <w:t xml:space="preserve"> </w:t>
      </w:r>
      <w:proofErr w:type="spellStart"/>
      <w:r w:rsidRPr="008D0D4F">
        <w:rPr>
          <w:rStyle w:val="A00"/>
          <w:b w:val="0"/>
          <w:bCs w:val="0"/>
          <w:sz w:val="24"/>
          <w:szCs w:val="24"/>
        </w:rPr>
        <w:t>M,eds.management</w:t>
      </w:r>
      <w:proofErr w:type="spellEnd"/>
      <w:r w:rsidRPr="008D0D4F">
        <w:rPr>
          <w:rStyle w:val="A00"/>
          <w:b w:val="0"/>
          <w:bCs w:val="0"/>
          <w:sz w:val="24"/>
          <w:szCs w:val="24"/>
        </w:rPr>
        <w:t xml:space="preserve"> of thyroid disorders. First </w:t>
      </w:r>
      <w:proofErr w:type="spellStart"/>
      <w:r w:rsidRPr="008D0D4F">
        <w:rPr>
          <w:rStyle w:val="A00"/>
          <w:b w:val="0"/>
          <w:bCs w:val="0"/>
          <w:sz w:val="24"/>
          <w:szCs w:val="24"/>
        </w:rPr>
        <w:t>ed.kundi;jaypee</w:t>
      </w:r>
      <w:proofErr w:type="spellEnd"/>
      <w:r w:rsidRPr="008D0D4F">
        <w:rPr>
          <w:rStyle w:val="A00"/>
          <w:b w:val="0"/>
          <w:bCs w:val="0"/>
          <w:sz w:val="24"/>
          <w:szCs w:val="24"/>
        </w:rPr>
        <w:t>, 2009:pp(15-67).</w:t>
      </w:r>
    </w:p>
    <w:p w:rsidR="00B01315" w:rsidRPr="00080AE1" w:rsidRDefault="00B01315" w:rsidP="00B01315">
      <w:pPr>
        <w:numPr>
          <w:ilvl w:val="0"/>
          <w:numId w:val="2"/>
        </w:numPr>
        <w:autoSpaceDE w:val="0"/>
        <w:autoSpaceDN w:val="0"/>
        <w:bidi w:val="0"/>
        <w:adjustRightInd w:val="0"/>
        <w:ind w:left="0" w:firstLine="0"/>
        <w:jc w:val="lowKashida"/>
      </w:pPr>
      <w:r w:rsidRPr="008D0D4F">
        <w:t xml:space="preserve">Mark </w:t>
      </w:r>
      <w:proofErr w:type="spellStart"/>
      <w:r w:rsidRPr="008D0D4F">
        <w:t>B.L.Peter</w:t>
      </w:r>
      <w:proofErr w:type="spellEnd"/>
      <w:r w:rsidRPr="008D0D4F">
        <w:t xml:space="preserve"> </w:t>
      </w:r>
      <w:proofErr w:type="spellStart"/>
      <w:r w:rsidRPr="008D0D4F">
        <w:t>schwiebert.In</w:t>
      </w:r>
      <w:proofErr w:type="spellEnd"/>
      <w:r w:rsidRPr="008D0D4F">
        <w:t xml:space="preserve"> :Marc </w:t>
      </w:r>
      <w:proofErr w:type="spellStart"/>
      <w:r w:rsidRPr="008D0D4F">
        <w:t>Jay,heather</w:t>
      </w:r>
      <w:proofErr w:type="spellEnd"/>
      <w:r w:rsidRPr="00080AE1">
        <w:t xml:space="preserve"> </w:t>
      </w:r>
      <w:proofErr w:type="spellStart"/>
      <w:r w:rsidRPr="00080AE1">
        <w:t>Anne,James</w:t>
      </w:r>
      <w:proofErr w:type="spellEnd"/>
      <w:r w:rsidRPr="00080AE1">
        <w:t xml:space="preserve"> </w:t>
      </w:r>
      <w:proofErr w:type="spellStart"/>
      <w:r w:rsidRPr="00080AE1">
        <w:t>R,eds.family</w:t>
      </w:r>
      <w:proofErr w:type="spellEnd"/>
      <w:r w:rsidRPr="00080AE1">
        <w:t xml:space="preserve"> medicine ambulatory care and </w:t>
      </w:r>
      <w:proofErr w:type="spellStart"/>
      <w:r w:rsidRPr="00080AE1">
        <w:t>prevention.fifth</w:t>
      </w:r>
      <w:proofErr w:type="spellEnd"/>
      <w:r w:rsidRPr="00080AE1">
        <w:t xml:space="preserve"> </w:t>
      </w:r>
      <w:proofErr w:type="spellStart"/>
      <w:r w:rsidRPr="00080AE1">
        <w:t>ed.New</w:t>
      </w:r>
      <w:proofErr w:type="spellEnd"/>
      <w:r w:rsidRPr="00080AE1">
        <w:t xml:space="preserve"> </w:t>
      </w:r>
      <w:proofErr w:type="spellStart"/>
      <w:r w:rsidRPr="00080AE1">
        <w:t>york:Mc</w:t>
      </w:r>
      <w:proofErr w:type="spellEnd"/>
      <w:r w:rsidRPr="00080AE1">
        <w:t xml:space="preserve"> </w:t>
      </w:r>
      <w:proofErr w:type="spellStart"/>
      <w:r w:rsidRPr="00080AE1">
        <w:t>Graw</w:t>
      </w:r>
      <w:proofErr w:type="spellEnd"/>
      <w:r w:rsidRPr="00080AE1">
        <w:t>-hill comp,2009:pp 637-8.</w:t>
      </w:r>
    </w:p>
    <w:p w:rsidR="00B01315" w:rsidRPr="00080AE1" w:rsidRDefault="00B01315" w:rsidP="00B01315">
      <w:pPr>
        <w:numPr>
          <w:ilvl w:val="0"/>
          <w:numId w:val="2"/>
        </w:numPr>
        <w:tabs>
          <w:tab w:val="right" w:pos="720"/>
        </w:tabs>
        <w:autoSpaceDE w:val="0"/>
        <w:autoSpaceDN w:val="0"/>
        <w:bidi w:val="0"/>
        <w:adjustRightInd w:val="0"/>
        <w:ind w:left="0" w:firstLine="0"/>
        <w:jc w:val="lowKashida"/>
      </w:pPr>
      <w:r w:rsidRPr="00080AE1">
        <w:t>Pederson ,</w:t>
      </w:r>
      <w:proofErr w:type="spellStart"/>
      <w:r w:rsidRPr="00080AE1">
        <w:t>Aardal</w:t>
      </w:r>
      <w:proofErr w:type="spellEnd"/>
      <w:r w:rsidRPr="00080AE1">
        <w:t xml:space="preserve"> </w:t>
      </w:r>
      <w:proofErr w:type="spellStart"/>
      <w:r w:rsidRPr="00080AE1">
        <w:t>Np</w:t>
      </w:r>
      <w:proofErr w:type="spellEnd"/>
      <w:r w:rsidRPr="00080AE1">
        <w:t xml:space="preserve">. The value of ultrasonography in predicting auto immune thyroid disease. Thyroid 2000, </w:t>
      </w:r>
      <w:proofErr w:type="spellStart"/>
      <w:r w:rsidRPr="00080AE1">
        <w:t>vol</w:t>
      </w:r>
      <w:proofErr w:type="spellEnd"/>
      <w:r w:rsidRPr="00080AE1">
        <w:t xml:space="preserve"> ( 10:251-259).</w:t>
      </w:r>
    </w:p>
    <w:p w:rsidR="00B01315" w:rsidRPr="00080AE1" w:rsidRDefault="00B01315" w:rsidP="00B01315">
      <w:pPr>
        <w:numPr>
          <w:ilvl w:val="0"/>
          <w:numId w:val="2"/>
        </w:numPr>
        <w:tabs>
          <w:tab w:val="right" w:pos="720"/>
        </w:tabs>
        <w:autoSpaceDE w:val="0"/>
        <w:autoSpaceDN w:val="0"/>
        <w:bidi w:val="0"/>
        <w:adjustRightInd w:val="0"/>
        <w:ind w:left="0" w:firstLine="0"/>
        <w:jc w:val="lowKashida"/>
      </w:pPr>
      <w:proofErr w:type="spellStart"/>
      <w:r w:rsidRPr="00080AE1">
        <w:t>Masinkiewicz</w:t>
      </w:r>
      <w:proofErr w:type="spellEnd"/>
      <w:r w:rsidRPr="00080AE1">
        <w:t>, U. S., and Burrow, G. Hyperthyroidism in pregnancy: diagnosis and treatment. Thyroid.1999; 9(7):52-64.</w:t>
      </w:r>
    </w:p>
    <w:p w:rsidR="00B01315" w:rsidRPr="00080AE1" w:rsidRDefault="00B01315" w:rsidP="00B01315">
      <w:pPr>
        <w:numPr>
          <w:ilvl w:val="0"/>
          <w:numId w:val="2"/>
        </w:numPr>
        <w:tabs>
          <w:tab w:val="right" w:pos="720"/>
        </w:tabs>
        <w:autoSpaceDE w:val="0"/>
        <w:autoSpaceDN w:val="0"/>
        <w:bidi w:val="0"/>
        <w:adjustRightInd w:val="0"/>
        <w:ind w:left="0" w:firstLine="0"/>
        <w:jc w:val="lowKashida"/>
      </w:pPr>
      <w:r w:rsidRPr="00080AE1">
        <w:t xml:space="preserve"> Bonar  B., </w:t>
      </w:r>
      <w:proofErr w:type="spellStart"/>
      <w:r w:rsidRPr="00080AE1">
        <w:t>McColgan</w:t>
      </w:r>
      <w:proofErr w:type="spellEnd"/>
      <w:r w:rsidRPr="00080AE1">
        <w:t xml:space="preserve">, B.; Smith, D.,  </w:t>
      </w:r>
      <w:proofErr w:type="spellStart"/>
      <w:r w:rsidRPr="00080AE1">
        <w:t>Darke</w:t>
      </w:r>
      <w:proofErr w:type="spellEnd"/>
      <w:r w:rsidRPr="00080AE1">
        <w:t xml:space="preserve">  C., </w:t>
      </w:r>
      <w:proofErr w:type="spellStart"/>
      <w:r w:rsidRPr="00080AE1">
        <w:t>Guttriodge</w:t>
      </w:r>
      <w:proofErr w:type="spellEnd"/>
      <w:r w:rsidRPr="00080AE1">
        <w:t xml:space="preserve">  M. and Williams, H. C. Hyperthyroidism and aging: the Rosses survey. Thyroid. 2000; 10 (9):21-79.</w:t>
      </w:r>
    </w:p>
    <w:p w:rsidR="00B01315" w:rsidRPr="00080AE1" w:rsidRDefault="00B01315" w:rsidP="00B01315">
      <w:pPr>
        <w:numPr>
          <w:ilvl w:val="0"/>
          <w:numId w:val="2"/>
        </w:numPr>
        <w:tabs>
          <w:tab w:val="right" w:pos="720"/>
        </w:tabs>
        <w:autoSpaceDE w:val="0"/>
        <w:autoSpaceDN w:val="0"/>
        <w:bidi w:val="0"/>
        <w:adjustRightInd w:val="0"/>
        <w:ind w:left="0" w:firstLine="0"/>
        <w:jc w:val="lowKashida"/>
        <w:rPr>
          <w:rStyle w:val="A4"/>
          <w:rFonts w:cs="Times New Roman"/>
          <w:b w:val="0"/>
          <w:bCs w:val="0"/>
          <w:color w:val="auto"/>
          <w:sz w:val="24"/>
          <w:szCs w:val="24"/>
        </w:rPr>
      </w:pPr>
      <w:r w:rsidRPr="00080AE1">
        <w:t xml:space="preserve">Ali, K.A.; Sharif, M.T.M.; and </w:t>
      </w:r>
      <w:proofErr w:type="spellStart"/>
      <w:r w:rsidRPr="00080AE1">
        <w:t>Alwan</w:t>
      </w:r>
      <w:proofErr w:type="spellEnd"/>
      <w:r w:rsidRPr="00080AE1">
        <w:t xml:space="preserve">, A. Determination of </w:t>
      </w:r>
      <w:proofErr w:type="spellStart"/>
      <w:r w:rsidRPr="00080AE1">
        <w:t>antithyroglobulin</w:t>
      </w:r>
      <w:proofErr w:type="spellEnd"/>
      <w:r w:rsidRPr="00080AE1">
        <w:t xml:space="preserve"> and </w:t>
      </w:r>
      <w:proofErr w:type="spellStart"/>
      <w:r w:rsidRPr="00080AE1">
        <w:t>antithyrop</w:t>
      </w:r>
      <w:r w:rsidR="008D0D4F">
        <w:t>-</w:t>
      </w:r>
      <w:r w:rsidRPr="00080AE1">
        <w:t>eroxidase</w:t>
      </w:r>
      <w:proofErr w:type="spellEnd"/>
      <w:r w:rsidRPr="00080AE1">
        <w:t xml:space="preserve"> antibodies in patients with hyperthyroidism by application of </w:t>
      </w:r>
      <w:r w:rsidRPr="00080AE1">
        <w:lastRenderedPageBreak/>
        <w:t>ELISA technique. Iraqi-</w:t>
      </w:r>
      <w:proofErr w:type="spellStart"/>
      <w:r w:rsidRPr="00080AE1">
        <w:t>J.Comm.Med</w:t>
      </w:r>
      <w:proofErr w:type="spellEnd"/>
      <w:r w:rsidRPr="00080AE1">
        <w:t xml:space="preserve">. 2002; 15(1): 59-63. </w:t>
      </w:r>
    </w:p>
    <w:p w:rsidR="00B01315" w:rsidRPr="00080AE1" w:rsidRDefault="00B01315" w:rsidP="00B01315">
      <w:pPr>
        <w:numPr>
          <w:ilvl w:val="0"/>
          <w:numId w:val="2"/>
        </w:numPr>
        <w:tabs>
          <w:tab w:val="right" w:pos="720"/>
        </w:tabs>
        <w:autoSpaceDE w:val="0"/>
        <w:autoSpaceDN w:val="0"/>
        <w:bidi w:val="0"/>
        <w:adjustRightInd w:val="0"/>
        <w:ind w:left="0" w:firstLine="0"/>
        <w:jc w:val="lowKashida"/>
      </w:pPr>
      <w:r w:rsidRPr="00080AE1">
        <w:rPr>
          <w:rStyle w:val="A4"/>
          <w:b w:val="0"/>
          <w:bCs w:val="0"/>
          <w:sz w:val="24"/>
          <w:szCs w:val="24"/>
        </w:rPr>
        <w:t xml:space="preserve">Ahmed, K.; </w:t>
      </w:r>
      <w:proofErr w:type="spellStart"/>
      <w:r w:rsidRPr="00080AE1">
        <w:rPr>
          <w:rStyle w:val="A4"/>
          <w:b w:val="0"/>
          <w:bCs w:val="0"/>
          <w:sz w:val="24"/>
          <w:szCs w:val="24"/>
        </w:rPr>
        <w:t>Taha</w:t>
      </w:r>
      <w:proofErr w:type="spellEnd"/>
      <w:r w:rsidRPr="00080AE1">
        <w:rPr>
          <w:rStyle w:val="A4"/>
          <w:b w:val="0"/>
          <w:bCs w:val="0"/>
          <w:sz w:val="24"/>
          <w:szCs w:val="24"/>
        </w:rPr>
        <w:t xml:space="preserve">, H ; and </w:t>
      </w:r>
      <w:proofErr w:type="spellStart"/>
      <w:r w:rsidRPr="00080AE1">
        <w:rPr>
          <w:rStyle w:val="A4"/>
          <w:b w:val="0"/>
          <w:bCs w:val="0"/>
          <w:sz w:val="24"/>
          <w:szCs w:val="24"/>
        </w:rPr>
        <w:t>Naji</w:t>
      </w:r>
      <w:proofErr w:type="spellEnd"/>
      <w:r w:rsidRPr="00080AE1">
        <w:rPr>
          <w:rStyle w:val="A4"/>
          <w:b w:val="0"/>
          <w:bCs w:val="0"/>
          <w:sz w:val="24"/>
          <w:szCs w:val="24"/>
        </w:rPr>
        <w:t>, T. Analysis of thyroid surgery for 100 patients in AL-</w:t>
      </w:r>
      <w:proofErr w:type="spellStart"/>
      <w:r w:rsidRPr="00080AE1">
        <w:rPr>
          <w:rStyle w:val="A4"/>
          <w:b w:val="0"/>
          <w:bCs w:val="0"/>
          <w:sz w:val="24"/>
          <w:szCs w:val="24"/>
        </w:rPr>
        <w:t>Kadhimia</w:t>
      </w:r>
      <w:proofErr w:type="spellEnd"/>
      <w:r w:rsidRPr="00080AE1">
        <w:rPr>
          <w:rStyle w:val="A4"/>
          <w:b w:val="0"/>
          <w:bCs w:val="0"/>
          <w:sz w:val="24"/>
          <w:szCs w:val="24"/>
        </w:rPr>
        <w:t xml:space="preserve"> teaching hospital. Iraqi– J. Med. </w:t>
      </w:r>
      <w:proofErr w:type="spellStart"/>
      <w:r w:rsidRPr="00080AE1">
        <w:rPr>
          <w:rStyle w:val="A4"/>
          <w:b w:val="0"/>
          <w:bCs w:val="0"/>
          <w:sz w:val="24"/>
          <w:szCs w:val="24"/>
        </w:rPr>
        <w:t>Scie</w:t>
      </w:r>
      <w:proofErr w:type="spellEnd"/>
      <w:r w:rsidRPr="00080AE1">
        <w:rPr>
          <w:rStyle w:val="A4"/>
          <w:b w:val="0"/>
          <w:bCs w:val="0"/>
          <w:sz w:val="24"/>
          <w:szCs w:val="24"/>
        </w:rPr>
        <w:t>., 2004; 3(1):68-72</w:t>
      </w:r>
      <w:r w:rsidRPr="00080AE1">
        <w:t>.</w:t>
      </w:r>
    </w:p>
    <w:p w:rsidR="00B01315" w:rsidRPr="00080AE1" w:rsidRDefault="00B01315" w:rsidP="00B01315">
      <w:pPr>
        <w:numPr>
          <w:ilvl w:val="0"/>
          <w:numId w:val="2"/>
        </w:numPr>
        <w:tabs>
          <w:tab w:val="right" w:pos="720"/>
        </w:tabs>
        <w:autoSpaceDE w:val="0"/>
        <w:autoSpaceDN w:val="0"/>
        <w:bidi w:val="0"/>
        <w:adjustRightInd w:val="0"/>
        <w:ind w:left="0" w:firstLine="0"/>
        <w:jc w:val="lowKashida"/>
      </w:pPr>
      <w:r w:rsidRPr="00080AE1">
        <w:t xml:space="preserve">A. </w:t>
      </w:r>
      <w:proofErr w:type="spellStart"/>
      <w:r w:rsidRPr="00080AE1">
        <w:t>Amballi</w:t>
      </w:r>
      <w:proofErr w:type="spellEnd"/>
      <w:r w:rsidRPr="00080AE1">
        <w:t xml:space="preserve">. </w:t>
      </w:r>
      <w:proofErr w:type="spellStart"/>
      <w:r w:rsidRPr="00080AE1">
        <w:t>Thyrotocosis</w:t>
      </w:r>
      <w:proofErr w:type="spellEnd"/>
      <w:r w:rsidRPr="00080AE1">
        <w:t xml:space="preserve">. Middle- East journal of scientific 2007, </w:t>
      </w:r>
      <w:proofErr w:type="spellStart"/>
      <w:r w:rsidRPr="00080AE1">
        <w:t>vol</w:t>
      </w:r>
      <w:proofErr w:type="spellEnd"/>
      <w:r w:rsidRPr="00080AE1">
        <w:t xml:space="preserve"> 2(3-4):98-103. </w:t>
      </w:r>
    </w:p>
    <w:p w:rsidR="00B01315" w:rsidRPr="00080AE1" w:rsidRDefault="00B01315" w:rsidP="00B01315">
      <w:pPr>
        <w:numPr>
          <w:ilvl w:val="0"/>
          <w:numId w:val="2"/>
        </w:numPr>
        <w:tabs>
          <w:tab w:val="right" w:pos="720"/>
        </w:tabs>
        <w:autoSpaceDE w:val="0"/>
        <w:autoSpaceDN w:val="0"/>
        <w:bidi w:val="0"/>
        <w:adjustRightInd w:val="0"/>
        <w:ind w:left="0" w:firstLine="0"/>
        <w:jc w:val="lowKashida"/>
      </w:pPr>
      <w:proofErr w:type="spellStart"/>
      <w:r w:rsidRPr="00080AE1">
        <w:t>Laurberg</w:t>
      </w:r>
      <w:proofErr w:type="spellEnd"/>
      <w:r w:rsidRPr="00080AE1">
        <w:t xml:space="preserve">, </w:t>
      </w:r>
      <w:proofErr w:type="spellStart"/>
      <w:r w:rsidRPr="00080AE1">
        <w:t>Inge</w:t>
      </w:r>
      <w:proofErr w:type="spellEnd"/>
      <w:r w:rsidRPr="00080AE1">
        <w:t xml:space="preserve"> </w:t>
      </w:r>
      <w:proofErr w:type="spellStart"/>
      <w:r w:rsidRPr="00080AE1">
        <w:t>Bülow</w:t>
      </w:r>
      <w:proofErr w:type="spellEnd"/>
      <w:r w:rsidRPr="00080AE1">
        <w:t xml:space="preserve"> Pedersen. Measurements of TSH receptor antibodies in differential </w:t>
      </w:r>
      <w:proofErr w:type="spellStart"/>
      <w:r w:rsidRPr="00080AE1">
        <w:t>diagnosis.LigandAssy</w:t>
      </w:r>
      <w:proofErr w:type="spellEnd"/>
      <w:r w:rsidRPr="00080AE1">
        <w:t xml:space="preserve"> 2007, </w:t>
      </w:r>
      <w:proofErr w:type="spellStart"/>
      <w:r w:rsidRPr="00080AE1">
        <w:t>vol</w:t>
      </w:r>
      <w:proofErr w:type="spellEnd"/>
      <w:r w:rsidRPr="00080AE1">
        <w:t xml:space="preserve"> 12 (1):62-65.</w:t>
      </w:r>
    </w:p>
    <w:p w:rsidR="00B01315" w:rsidRPr="00080AE1" w:rsidRDefault="00B01315" w:rsidP="00B01315">
      <w:pPr>
        <w:numPr>
          <w:ilvl w:val="0"/>
          <w:numId w:val="2"/>
        </w:numPr>
        <w:tabs>
          <w:tab w:val="right" w:pos="720"/>
        </w:tabs>
        <w:autoSpaceDE w:val="0"/>
        <w:autoSpaceDN w:val="0"/>
        <w:bidi w:val="0"/>
        <w:adjustRightInd w:val="0"/>
        <w:ind w:left="0" w:firstLine="0"/>
        <w:jc w:val="lowKashida"/>
      </w:pPr>
      <w:proofErr w:type="spellStart"/>
      <w:r w:rsidRPr="00080AE1">
        <w:t>Arqueros</w:t>
      </w:r>
      <w:proofErr w:type="spellEnd"/>
      <w:r w:rsidRPr="00080AE1">
        <w:t xml:space="preserve"> M, el Tamer E, el Tamer S, Houssay A. TSH receptor antibodies as a recurrence index of </w:t>
      </w:r>
      <w:r w:rsidR="00672E5A" w:rsidRPr="00080AE1">
        <w:t>Graves'</w:t>
      </w:r>
      <w:r w:rsidRPr="00080AE1">
        <w:t xml:space="preserve"> disease treated with </w:t>
      </w:r>
      <w:proofErr w:type="spellStart"/>
      <w:r w:rsidRPr="00080AE1">
        <w:t>antithyroid</w:t>
      </w:r>
      <w:proofErr w:type="spellEnd"/>
      <w:r w:rsidRPr="00080AE1">
        <w:t xml:space="preserve"> drugs. </w:t>
      </w:r>
      <w:proofErr w:type="spellStart"/>
      <w:r w:rsidRPr="00080AE1">
        <w:t>Medicina</w:t>
      </w:r>
      <w:proofErr w:type="spellEnd"/>
      <w:r w:rsidRPr="00080AE1">
        <w:t xml:space="preserve"> (B Aires</w:t>
      </w:r>
      <w:r w:rsidRPr="00080AE1">
        <w:rPr>
          <w:i/>
          <w:iCs/>
        </w:rPr>
        <w:t>)</w:t>
      </w:r>
      <w:r w:rsidRPr="00080AE1">
        <w:t>. 1991; 51</w:t>
      </w:r>
      <w:r w:rsidRPr="00080AE1">
        <w:rPr>
          <w:b/>
          <w:bCs/>
        </w:rPr>
        <w:t xml:space="preserve"> </w:t>
      </w:r>
      <w:r w:rsidRPr="00080AE1">
        <w:t xml:space="preserve">(1): 9-13. </w:t>
      </w:r>
    </w:p>
    <w:p w:rsidR="00B01315" w:rsidRPr="00080AE1" w:rsidRDefault="00B01315" w:rsidP="008D0D4F">
      <w:pPr>
        <w:numPr>
          <w:ilvl w:val="0"/>
          <w:numId w:val="2"/>
        </w:numPr>
        <w:tabs>
          <w:tab w:val="right" w:pos="720"/>
        </w:tabs>
        <w:autoSpaceDE w:val="0"/>
        <w:autoSpaceDN w:val="0"/>
        <w:bidi w:val="0"/>
        <w:adjustRightInd w:val="0"/>
        <w:ind w:left="0" w:firstLine="0"/>
        <w:jc w:val="lowKashida"/>
      </w:pPr>
      <w:proofErr w:type="spellStart"/>
      <w:r w:rsidRPr="00080AE1">
        <w:t>A.A.Amballi.Thyrotocosis</w:t>
      </w:r>
      <w:proofErr w:type="spellEnd"/>
      <w:r w:rsidRPr="00080AE1">
        <w:t xml:space="preserve">. Middle-East journal of scientific 2007, 2(3-4):98-103. </w:t>
      </w:r>
    </w:p>
    <w:p w:rsidR="00B01315" w:rsidRPr="00080AE1" w:rsidRDefault="00B01315" w:rsidP="00B01315">
      <w:pPr>
        <w:numPr>
          <w:ilvl w:val="0"/>
          <w:numId w:val="2"/>
        </w:numPr>
        <w:tabs>
          <w:tab w:val="right" w:pos="720"/>
        </w:tabs>
        <w:autoSpaceDE w:val="0"/>
        <w:autoSpaceDN w:val="0"/>
        <w:bidi w:val="0"/>
        <w:adjustRightInd w:val="0"/>
        <w:ind w:left="0" w:firstLine="0"/>
        <w:jc w:val="lowKashida"/>
      </w:pPr>
      <w:proofErr w:type="spellStart"/>
      <w:r w:rsidRPr="00080AE1">
        <w:t>Laurberg</w:t>
      </w:r>
      <w:proofErr w:type="spellEnd"/>
      <w:r w:rsidRPr="00080AE1">
        <w:t xml:space="preserve">, </w:t>
      </w:r>
      <w:proofErr w:type="spellStart"/>
      <w:r w:rsidRPr="00080AE1">
        <w:t>Inge</w:t>
      </w:r>
      <w:proofErr w:type="spellEnd"/>
      <w:r w:rsidRPr="00080AE1">
        <w:t xml:space="preserve"> </w:t>
      </w:r>
      <w:proofErr w:type="spellStart"/>
      <w:r w:rsidRPr="00080AE1">
        <w:t>Bülow</w:t>
      </w:r>
      <w:proofErr w:type="spellEnd"/>
      <w:r w:rsidRPr="00080AE1">
        <w:t xml:space="preserve"> Pedersen. Measurements of TSH receptor antibodies in differential </w:t>
      </w:r>
      <w:proofErr w:type="spellStart"/>
      <w:r w:rsidRPr="00080AE1">
        <w:t>diagnosis.LigandAssy</w:t>
      </w:r>
      <w:proofErr w:type="spellEnd"/>
      <w:r w:rsidRPr="00080AE1">
        <w:t xml:space="preserve"> 2007,vol 12 (1):62-65.</w:t>
      </w:r>
    </w:p>
    <w:p w:rsidR="00B01315" w:rsidRPr="00080AE1" w:rsidRDefault="00B01315" w:rsidP="00B01315">
      <w:pPr>
        <w:numPr>
          <w:ilvl w:val="0"/>
          <w:numId w:val="2"/>
        </w:numPr>
        <w:tabs>
          <w:tab w:val="right" w:pos="720"/>
        </w:tabs>
        <w:autoSpaceDE w:val="0"/>
        <w:autoSpaceDN w:val="0"/>
        <w:bidi w:val="0"/>
        <w:adjustRightInd w:val="0"/>
        <w:ind w:left="0" w:firstLine="0"/>
        <w:jc w:val="lowKashida"/>
      </w:pPr>
      <w:proofErr w:type="spellStart"/>
      <w:r w:rsidRPr="00080AE1">
        <w:t>Arqueros</w:t>
      </w:r>
      <w:proofErr w:type="spellEnd"/>
      <w:r w:rsidRPr="00080AE1">
        <w:t xml:space="preserve"> MC, el Tamer E, el Tamer S, Houssay AB. TSH receptor antibodies as a recurrence index of </w:t>
      </w:r>
      <w:r w:rsidR="00672E5A" w:rsidRPr="00080AE1">
        <w:t>Graves'</w:t>
      </w:r>
      <w:r w:rsidRPr="00080AE1">
        <w:t xml:space="preserve"> disease treated with </w:t>
      </w:r>
      <w:proofErr w:type="spellStart"/>
      <w:r w:rsidRPr="00080AE1">
        <w:t>antithyroid</w:t>
      </w:r>
      <w:proofErr w:type="spellEnd"/>
      <w:r w:rsidRPr="00080AE1">
        <w:t xml:space="preserve"> drugs. </w:t>
      </w:r>
      <w:proofErr w:type="spellStart"/>
      <w:r w:rsidRPr="00080AE1">
        <w:t>Medicina</w:t>
      </w:r>
      <w:proofErr w:type="spellEnd"/>
      <w:r w:rsidRPr="00080AE1">
        <w:t xml:space="preserve"> (B Aires</w:t>
      </w:r>
      <w:r w:rsidRPr="00080AE1">
        <w:rPr>
          <w:i/>
          <w:iCs/>
        </w:rPr>
        <w:t>)</w:t>
      </w:r>
      <w:r w:rsidRPr="00080AE1">
        <w:t xml:space="preserve"> </w:t>
      </w:r>
      <w:r w:rsidRPr="00080AE1">
        <w:rPr>
          <w:b/>
          <w:bCs/>
        </w:rPr>
        <w:t xml:space="preserve">51 </w:t>
      </w:r>
      <w:r w:rsidRPr="00080AE1">
        <w:t>(1):9-13, 1991.</w:t>
      </w:r>
    </w:p>
    <w:p w:rsidR="00B01315" w:rsidRPr="00080AE1" w:rsidRDefault="00B01315" w:rsidP="00B01315">
      <w:pPr>
        <w:numPr>
          <w:ilvl w:val="0"/>
          <w:numId w:val="2"/>
        </w:numPr>
        <w:tabs>
          <w:tab w:val="right" w:pos="720"/>
        </w:tabs>
        <w:autoSpaceDE w:val="0"/>
        <w:autoSpaceDN w:val="0"/>
        <w:bidi w:val="0"/>
        <w:adjustRightInd w:val="0"/>
        <w:ind w:left="0" w:firstLine="0"/>
        <w:jc w:val="lowKashida"/>
      </w:pPr>
      <w:r w:rsidRPr="00080AE1">
        <w:t xml:space="preserve">Terry F. Davies, </w:t>
      </w:r>
      <w:proofErr w:type="spellStart"/>
      <w:r w:rsidRPr="00080AE1">
        <w:t>Elio</w:t>
      </w:r>
      <w:proofErr w:type="spellEnd"/>
      <w:r w:rsidRPr="00080AE1">
        <w:t xml:space="preserve"> Roti, Lewis E, </w:t>
      </w:r>
      <w:proofErr w:type="spellStart"/>
      <w:r w:rsidRPr="00080AE1">
        <w:t>Braverman</w:t>
      </w:r>
      <w:proofErr w:type="spellEnd"/>
      <w:r w:rsidRPr="00080AE1">
        <w:t xml:space="preserve">, and Leslie J. </w:t>
      </w:r>
      <w:proofErr w:type="spellStart"/>
      <w:r w:rsidRPr="00080AE1">
        <w:t>Degroot</w:t>
      </w:r>
      <w:proofErr w:type="spellEnd"/>
      <w:r w:rsidRPr="00080AE1">
        <w:t xml:space="preserve">. Therapeutic Controversy. </w:t>
      </w:r>
      <w:r w:rsidRPr="00080AE1">
        <w:rPr>
          <w:i/>
          <w:iCs/>
        </w:rPr>
        <w:t xml:space="preserve">J </w:t>
      </w:r>
      <w:proofErr w:type="spellStart"/>
      <w:r w:rsidRPr="00080AE1">
        <w:rPr>
          <w:i/>
          <w:iCs/>
        </w:rPr>
        <w:t>Cli</w:t>
      </w:r>
      <w:proofErr w:type="spellEnd"/>
      <w:r w:rsidRPr="00080AE1">
        <w:rPr>
          <w:i/>
          <w:iCs/>
        </w:rPr>
        <w:t xml:space="preserve"> </w:t>
      </w:r>
      <w:proofErr w:type="spellStart"/>
      <w:r w:rsidRPr="00080AE1">
        <w:rPr>
          <w:i/>
          <w:iCs/>
        </w:rPr>
        <w:t>Endocrinol</w:t>
      </w:r>
      <w:proofErr w:type="spellEnd"/>
      <w:r w:rsidRPr="00080AE1">
        <w:t xml:space="preserve"> </w:t>
      </w:r>
      <w:proofErr w:type="spellStart"/>
      <w:r w:rsidRPr="00080AE1">
        <w:rPr>
          <w:i/>
          <w:iCs/>
        </w:rPr>
        <w:t>Metab</w:t>
      </w:r>
      <w:proofErr w:type="spellEnd"/>
      <w:r w:rsidRPr="00080AE1">
        <w:rPr>
          <w:i/>
          <w:iCs/>
        </w:rPr>
        <w:t xml:space="preserve"> </w:t>
      </w:r>
      <w:r w:rsidRPr="00080AE1">
        <w:t>83 (11): 3777-85, 1998.</w:t>
      </w:r>
    </w:p>
    <w:p w:rsidR="00B01315" w:rsidRPr="00080AE1" w:rsidRDefault="00B01315" w:rsidP="00B01315">
      <w:pPr>
        <w:numPr>
          <w:ilvl w:val="0"/>
          <w:numId w:val="2"/>
        </w:numPr>
        <w:tabs>
          <w:tab w:val="right" w:pos="720"/>
        </w:tabs>
        <w:autoSpaceDE w:val="0"/>
        <w:autoSpaceDN w:val="0"/>
        <w:bidi w:val="0"/>
        <w:adjustRightInd w:val="0"/>
        <w:ind w:left="0" w:firstLine="0"/>
        <w:jc w:val="lowKashida"/>
      </w:pPr>
      <w:proofErr w:type="spellStart"/>
      <w:r w:rsidRPr="00080AE1">
        <w:t>Khoo</w:t>
      </w:r>
      <w:proofErr w:type="spellEnd"/>
      <w:r w:rsidRPr="00080AE1">
        <w:t xml:space="preserve"> DH, </w:t>
      </w:r>
      <w:proofErr w:type="spellStart"/>
      <w:r w:rsidRPr="00080AE1">
        <w:t>Fok</w:t>
      </w:r>
      <w:proofErr w:type="spellEnd"/>
      <w:r w:rsidRPr="00080AE1">
        <w:t xml:space="preserve"> AC, Tan CE, </w:t>
      </w:r>
      <w:proofErr w:type="spellStart"/>
      <w:r w:rsidRPr="00080AE1">
        <w:t>Koh</w:t>
      </w:r>
      <w:proofErr w:type="spellEnd"/>
      <w:r w:rsidRPr="00080AE1">
        <w:t xml:space="preserve"> LK, Lim SC, </w:t>
      </w:r>
      <w:proofErr w:type="spellStart"/>
      <w:r w:rsidRPr="00080AE1">
        <w:t>Eng</w:t>
      </w:r>
      <w:proofErr w:type="spellEnd"/>
      <w:r w:rsidRPr="00080AE1">
        <w:t xml:space="preserve"> </w:t>
      </w:r>
      <w:proofErr w:type="spellStart"/>
      <w:r w:rsidRPr="00080AE1">
        <w:t>PH,Ho</w:t>
      </w:r>
      <w:proofErr w:type="spellEnd"/>
      <w:r w:rsidRPr="00080AE1">
        <w:t xml:space="preserve"> SC. Thyroid stimulating hormone receptor antibody levels in Singaporean patients with autoimmune thyroid disease. Ann </w:t>
      </w:r>
      <w:proofErr w:type="spellStart"/>
      <w:r w:rsidRPr="00080AE1">
        <w:t>Acad</w:t>
      </w:r>
      <w:proofErr w:type="spellEnd"/>
      <w:r w:rsidRPr="00080AE1">
        <w:t xml:space="preserve"> Med Singapore, 1997</w:t>
      </w:r>
      <w:r w:rsidRPr="00080AE1">
        <w:rPr>
          <w:i/>
          <w:iCs/>
        </w:rPr>
        <w:t xml:space="preserve"> </w:t>
      </w:r>
      <w:r w:rsidRPr="00080AE1">
        <w:rPr>
          <w:b/>
          <w:bCs/>
        </w:rPr>
        <w:t xml:space="preserve">26 </w:t>
      </w:r>
      <w:r w:rsidRPr="00080AE1">
        <w:t>(4): 435-8.</w:t>
      </w:r>
    </w:p>
    <w:p w:rsidR="00B01315" w:rsidRPr="00080AE1" w:rsidRDefault="00B01315" w:rsidP="00B01315">
      <w:pPr>
        <w:numPr>
          <w:ilvl w:val="0"/>
          <w:numId w:val="2"/>
        </w:numPr>
        <w:tabs>
          <w:tab w:val="right" w:pos="720"/>
        </w:tabs>
        <w:autoSpaceDE w:val="0"/>
        <w:autoSpaceDN w:val="0"/>
        <w:bidi w:val="0"/>
        <w:adjustRightInd w:val="0"/>
        <w:ind w:left="0" w:firstLine="0"/>
        <w:jc w:val="lowKashida"/>
      </w:pPr>
      <w:proofErr w:type="spellStart"/>
      <w:r w:rsidRPr="00080AE1">
        <w:t>Kraiem</w:t>
      </w:r>
      <w:proofErr w:type="spellEnd"/>
      <w:r w:rsidRPr="00080AE1">
        <w:t xml:space="preserve"> </w:t>
      </w:r>
      <w:proofErr w:type="spellStart"/>
      <w:r w:rsidRPr="00080AE1">
        <w:t>Z,Glaser</w:t>
      </w:r>
      <w:proofErr w:type="spellEnd"/>
      <w:r w:rsidRPr="00080AE1">
        <w:t xml:space="preserve"> </w:t>
      </w:r>
      <w:proofErr w:type="spellStart"/>
      <w:r w:rsidRPr="00080AE1">
        <w:t>B.Toxic</w:t>
      </w:r>
      <w:proofErr w:type="spellEnd"/>
      <w:r w:rsidRPr="00080AE1">
        <w:t xml:space="preserve"> </w:t>
      </w:r>
      <w:proofErr w:type="spellStart"/>
      <w:r w:rsidRPr="00080AE1">
        <w:t>multinodulr</w:t>
      </w:r>
      <w:proofErr w:type="spellEnd"/>
      <w:r w:rsidRPr="00080AE1">
        <w:t xml:space="preserve"> </w:t>
      </w:r>
      <w:proofErr w:type="spellStart"/>
      <w:r w:rsidRPr="00080AE1">
        <w:t>goitre</w:t>
      </w:r>
      <w:proofErr w:type="spellEnd"/>
      <w:r w:rsidRPr="00080AE1">
        <w:t xml:space="preserve">: variant of autoimmune </w:t>
      </w:r>
      <w:proofErr w:type="spellStart"/>
      <w:r w:rsidRPr="00080AE1">
        <w:t>hyperthyroidism.clincal</w:t>
      </w:r>
      <w:proofErr w:type="spellEnd"/>
      <w:r w:rsidRPr="00080AE1">
        <w:t xml:space="preserve"> E.1997. 35-62.</w:t>
      </w:r>
    </w:p>
    <w:p w:rsidR="00B01315" w:rsidRPr="00080AE1" w:rsidRDefault="00B01315" w:rsidP="00B01315">
      <w:pPr>
        <w:numPr>
          <w:ilvl w:val="0"/>
          <w:numId w:val="2"/>
        </w:numPr>
        <w:tabs>
          <w:tab w:val="right" w:pos="720"/>
        </w:tabs>
        <w:autoSpaceDE w:val="0"/>
        <w:autoSpaceDN w:val="0"/>
        <w:bidi w:val="0"/>
        <w:adjustRightInd w:val="0"/>
        <w:ind w:left="0" w:firstLine="0"/>
        <w:jc w:val="lowKashida"/>
      </w:pPr>
      <w:proofErr w:type="spellStart"/>
      <w:r w:rsidRPr="00080AE1">
        <w:t>Nygaard</w:t>
      </w:r>
      <w:proofErr w:type="spellEnd"/>
      <w:r w:rsidRPr="00080AE1">
        <w:t xml:space="preserve"> B, Metcalfe R. </w:t>
      </w:r>
      <w:proofErr w:type="spellStart"/>
      <w:r w:rsidRPr="00080AE1">
        <w:t>Graves</w:t>
      </w:r>
      <w:proofErr w:type="spellEnd"/>
      <w:r w:rsidRPr="00080AE1">
        <w:t xml:space="preserve"> disease with thyroid associated </w:t>
      </w:r>
      <w:proofErr w:type="spellStart"/>
      <w:r w:rsidRPr="00080AE1">
        <w:lastRenderedPageBreak/>
        <w:t>ophalmopathy</w:t>
      </w:r>
      <w:proofErr w:type="spellEnd"/>
      <w:r w:rsidRPr="00080AE1">
        <w:t xml:space="preserve"> by </w:t>
      </w:r>
      <w:r w:rsidRPr="00080AE1">
        <w:rPr>
          <w:vertAlign w:val="superscript"/>
        </w:rPr>
        <w:t>131</w:t>
      </w:r>
      <w:r w:rsidRPr="00080AE1">
        <w:t xml:space="preserve">I treatment of </w:t>
      </w:r>
      <w:r w:rsidR="00672E5A" w:rsidRPr="00080AE1">
        <w:t>non-toxic</w:t>
      </w:r>
      <w:r w:rsidRPr="00080AE1">
        <w:t xml:space="preserve"> </w:t>
      </w:r>
      <w:proofErr w:type="spellStart"/>
      <w:r w:rsidRPr="00080AE1">
        <w:t>goitre</w:t>
      </w:r>
      <w:proofErr w:type="spellEnd"/>
      <w:r w:rsidRPr="00080AE1">
        <w:t>. Endocrinology. 1999; 22:481-485.</w:t>
      </w:r>
    </w:p>
    <w:p w:rsidR="00B01315" w:rsidRPr="00080AE1" w:rsidRDefault="00B01315" w:rsidP="00B01315">
      <w:pPr>
        <w:numPr>
          <w:ilvl w:val="0"/>
          <w:numId w:val="2"/>
        </w:numPr>
        <w:autoSpaceDE w:val="0"/>
        <w:autoSpaceDN w:val="0"/>
        <w:bidi w:val="0"/>
        <w:adjustRightInd w:val="0"/>
        <w:ind w:left="0" w:firstLine="0"/>
        <w:jc w:val="lowKashida"/>
      </w:pPr>
      <w:proofErr w:type="spellStart"/>
      <w:r w:rsidRPr="00080AE1">
        <w:t>Rapoport</w:t>
      </w:r>
      <w:proofErr w:type="spellEnd"/>
      <w:r w:rsidRPr="00080AE1">
        <w:t xml:space="preserve">, B., </w:t>
      </w:r>
      <w:r w:rsidRPr="00080AE1">
        <w:rPr>
          <w:i/>
          <w:iCs/>
        </w:rPr>
        <w:t>et al.</w:t>
      </w:r>
      <w:r w:rsidRPr="00080AE1">
        <w:t xml:space="preserve">, The </w:t>
      </w:r>
      <w:proofErr w:type="spellStart"/>
      <w:r w:rsidRPr="00080AE1">
        <w:t>Thyrotropin</w:t>
      </w:r>
      <w:proofErr w:type="spellEnd"/>
      <w:r w:rsidRPr="00080AE1">
        <w:t xml:space="preserve"> (TSH)-Releasing Hormone Receptor</w:t>
      </w:r>
      <w:r w:rsidRPr="00080AE1">
        <w:rPr>
          <w:i/>
          <w:iCs/>
        </w:rPr>
        <w:t xml:space="preserve">: </w:t>
      </w:r>
      <w:r w:rsidRPr="00080AE1">
        <w:t>Interaction</w:t>
      </w:r>
      <w:r w:rsidRPr="00080AE1">
        <w:rPr>
          <w:i/>
          <w:iCs/>
        </w:rPr>
        <w:t xml:space="preserve"> </w:t>
      </w:r>
      <w:r w:rsidRPr="00080AE1">
        <w:t>with TSH and Autoantibodies</w:t>
      </w:r>
      <w:r w:rsidRPr="00080AE1">
        <w:rPr>
          <w:i/>
          <w:iCs/>
        </w:rPr>
        <w:t xml:space="preserve">. </w:t>
      </w:r>
      <w:r w:rsidRPr="00080AE1">
        <w:t xml:space="preserve">Endocrine Reviews, 1998. </w:t>
      </w:r>
      <w:r w:rsidRPr="00080AE1">
        <w:rPr>
          <w:b/>
          <w:bCs/>
        </w:rPr>
        <w:t>19</w:t>
      </w:r>
      <w:r w:rsidRPr="00080AE1">
        <w:t>(6): p.673-716.</w:t>
      </w:r>
    </w:p>
    <w:p w:rsidR="00B01315" w:rsidRPr="00080AE1" w:rsidRDefault="00B01315" w:rsidP="00B01315">
      <w:pPr>
        <w:numPr>
          <w:ilvl w:val="0"/>
          <w:numId w:val="2"/>
        </w:numPr>
        <w:tabs>
          <w:tab w:val="right" w:pos="720"/>
        </w:tabs>
        <w:autoSpaceDE w:val="0"/>
        <w:autoSpaceDN w:val="0"/>
        <w:bidi w:val="0"/>
        <w:adjustRightInd w:val="0"/>
        <w:ind w:left="0" w:firstLine="0"/>
        <w:jc w:val="lowKashida"/>
      </w:pPr>
      <w:proofErr w:type="spellStart"/>
      <w:r w:rsidRPr="00080AE1">
        <w:t>Kamijo</w:t>
      </w:r>
      <w:proofErr w:type="spellEnd"/>
      <w:r w:rsidRPr="00080AE1">
        <w:t>, K., TSH-receptor Antibodies Determined by the First, Second and Third Generation Assays and Thyroid-stimulating Antibody in Pregnant Patients with Graves' Disease</w:t>
      </w:r>
      <w:r w:rsidRPr="00080AE1">
        <w:rPr>
          <w:i/>
          <w:iCs/>
        </w:rPr>
        <w:t xml:space="preserve">. </w:t>
      </w:r>
      <w:r w:rsidRPr="00080AE1">
        <w:t>Endocrine Journal, 2007. 54(4): p. 619.</w:t>
      </w:r>
    </w:p>
    <w:p w:rsidR="00B80129" w:rsidRDefault="00B80129">
      <w:pPr>
        <w:rPr>
          <w:lang w:bidi="ar-IQ"/>
        </w:rPr>
      </w:pPr>
    </w:p>
    <w:sectPr w:rsidR="00B80129" w:rsidSect="00080AE1">
      <w:type w:val="continuous"/>
      <w:pgSz w:w="11906" w:h="16838"/>
      <w:pgMar w:top="851" w:right="1701" w:bottom="851" w:left="1701" w:header="709" w:footer="709" w:gutter="0"/>
      <w:pgNumType w:start="158"/>
      <w:cols w:num="2" w:space="709"/>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782" w:rsidRDefault="00B27782">
      <w:r>
        <w:separator/>
      </w:r>
    </w:p>
  </w:endnote>
  <w:endnote w:type="continuationSeparator" w:id="0">
    <w:p w:rsidR="00B27782" w:rsidRDefault="00B27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intirr">
    <w:panose1 w:val="00000000000000000000"/>
    <w:charset w:val="B2"/>
    <w:family w:val="auto"/>
    <w:notTrueType/>
    <w:pitch w:val="default"/>
    <w:sig w:usb0="00002001"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TimesTurk">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4D8" w:rsidRDefault="00B01315" w:rsidP="00BE3657">
    <w:pPr>
      <w:pStyle w:val="a3"/>
      <w:framePr w:wrap="around" w:vAnchor="text" w:hAnchor="text" w:xAlign="center" w:y="1"/>
      <w:rPr>
        <w:rStyle w:val="a5"/>
      </w:rPr>
    </w:pPr>
    <w:r>
      <w:rPr>
        <w:rStyle w:val="a5"/>
        <w:rtl/>
      </w:rPr>
      <w:fldChar w:fldCharType="begin"/>
    </w:r>
    <w:r>
      <w:rPr>
        <w:rStyle w:val="a5"/>
      </w:rPr>
      <w:instrText xml:space="preserve">PAGE  </w:instrText>
    </w:r>
    <w:r>
      <w:rPr>
        <w:rStyle w:val="a5"/>
        <w:rtl/>
      </w:rPr>
      <w:fldChar w:fldCharType="end"/>
    </w:r>
  </w:p>
  <w:p w:rsidR="00F534D8" w:rsidRDefault="00B27782">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4D8" w:rsidRPr="00DE355B" w:rsidRDefault="00B01315" w:rsidP="00DE355B">
    <w:pPr>
      <w:pStyle w:val="a3"/>
      <w:framePr w:wrap="around" w:vAnchor="text" w:hAnchor="text" w:xAlign="center" w:y="1"/>
      <w:bidi w:val="0"/>
      <w:rPr>
        <w:rStyle w:val="a5"/>
        <w:sz w:val="20"/>
        <w:szCs w:val="20"/>
      </w:rPr>
    </w:pPr>
    <w:r w:rsidRPr="00DE355B">
      <w:rPr>
        <w:rStyle w:val="a5"/>
        <w:sz w:val="20"/>
        <w:szCs w:val="20"/>
        <w:rtl/>
      </w:rPr>
      <w:fldChar w:fldCharType="begin"/>
    </w:r>
    <w:r w:rsidRPr="00DE355B">
      <w:rPr>
        <w:rStyle w:val="a5"/>
        <w:sz w:val="20"/>
        <w:szCs w:val="20"/>
      </w:rPr>
      <w:instrText xml:space="preserve">PAGE  </w:instrText>
    </w:r>
    <w:r w:rsidRPr="00DE355B">
      <w:rPr>
        <w:rStyle w:val="a5"/>
        <w:sz w:val="20"/>
        <w:szCs w:val="20"/>
        <w:rtl/>
      </w:rPr>
      <w:fldChar w:fldCharType="separate"/>
    </w:r>
    <w:r w:rsidR="00F577D4">
      <w:rPr>
        <w:rStyle w:val="a5"/>
        <w:noProof/>
        <w:sz w:val="20"/>
        <w:szCs w:val="20"/>
      </w:rPr>
      <w:t>153</w:t>
    </w:r>
    <w:r w:rsidRPr="00DE355B">
      <w:rPr>
        <w:rStyle w:val="a5"/>
        <w:sz w:val="20"/>
        <w:szCs w:val="20"/>
        <w:rtl/>
      </w:rPr>
      <w:fldChar w:fldCharType="end"/>
    </w:r>
  </w:p>
  <w:p w:rsidR="00F534D8" w:rsidRDefault="00B27782">
    <w:pPr>
      <w:pStyle w:val="a3"/>
      <w:rPr>
        <w:lang w:bidi="ar-IQ"/>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782" w:rsidRDefault="00B27782">
      <w:r>
        <w:separator/>
      </w:r>
    </w:p>
  </w:footnote>
  <w:footnote w:type="continuationSeparator" w:id="0">
    <w:p w:rsidR="00B27782" w:rsidRDefault="00B277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55B" w:rsidRPr="00DE355B" w:rsidRDefault="00B01315" w:rsidP="00DE355B">
    <w:pPr>
      <w:tabs>
        <w:tab w:val="center" w:pos="4153"/>
        <w:tab w:val="right" w:pos="8505"/>
      </w:tabs>
      <w:bidi w:val="0"/>
      <w:spacing w:after="200"/>
      <w:jc w:val="center"/>
      <w:rPr>
        <w:lang w:val="x-none" w:eastAsia="x-none" w:bidi="ar-IQ"/>
      </w:rPr>
    </w:pPr>
    <w:r w:rsidRPr="00DE355B">
      <w:rPr>
        <w:b/>
        <w:bCs/>
        <w:sz w:val="20"/>
        <w:szCs w:val="20"/>
        <w:u w:val="single"/>
        <w:lang w:val="x-none" w:eastAsia="x-none" w:bidi="ar-JO"/>
      </w:rPr>
      <w:t xml:space="preserve">Medical Journal of Babylon-Vol. </w:t>
    </w:r>
    <w:r w:rsidRPr="00DE355B">
      <w:rPr>
        <w:b/>
        <w:bCs/>
        <w:sz w:val="20"/>
        <w:szCs w:val="20"/>
        <w:u w:val="single"/>
        <w:lang w:eastAsia="x-none" w:bidi="ar-JO"/>
      </w:rPr>
      <w:t>10</w:t>
    </w:r>
    <w:r w:rsidRPr="00DE355B">
      <w:rPr>
        <w:b/>
        <w:bCs/>
        <w:sz w:val="20"/>
        <w:szCs w:val="20"/>
        <w:u w:val="single"/>
        <w:lang w:val="x-none" w:eastAsia="x-none" w:bidi="ar-JO"/>
      </w:rPr>
      <w:t xml:space="preserve">- No. </w:t>
    </w:r>
    <w:r w:rsidRPr="00DE355B">
      <w:rPr>
        <w:b/>
        <w:bCs/>
        <w:sz w:val="20"/>
        <w:szCs w:val="20"/>
        <w:u w:val="single"/>
        <w:lang w:eastAsia="x-none" w:bidi="ar-JO"/>
      </w:rPr>
      <w:t>1</w:t>
    </w:r>
    <w:r w:rsidRPr="00DE355B">
      <w:rPr>
        <w:b/>
        <w:bCs/>
        <w:sz w:val="20"/>
        <w:szCs w:val="20"/>
        <w:u w:val="single"/>
        <w:lang w:val="x-none" w:eastAsia="x-none" w:bidi="ar-JO"/>
      </w:rPr>
      <w:t xml:space="preserve"> -201</w:t>
    </w:r>
    <w:r w:rsidRPr="00DE355B">
      <w:rPr>
        <w:b/>
        <w:bCs/>
        <w:sz w:val="20"/>
        <w:szCs w:val="20"/>
        <w:u w:val="single"/>
        <w:lang w:eastAsia="x-none" w:bidi="ar-JO"/>
      </w:rPr>
      <w:t>3</w:t>
    </w:r>
    <w:r w:rsidRPr="00DE355B">
      <w:rPr>
        <w:b/>
        <w:bCs/>
        <w:sz w:val="20"/>
        <w:szCs w:val="20"/>
        <w:u w:val="single"/>
        <w:lang w:val="x-none" w:eastAsia="x-none" w:bidi="ar-JO"/>
      </w:rPr>
      <w:t xml:space="preserve">    </w:t>
    </w:r>
    <w:r w:rsidRPr="00DE355B">
      <w:rPr>
        <w:rFonts w:hint="cs"/>
        <w:b/>
        <w:bCs/>
        <w:sz w:val="20"/>
        <w:szCs w:val="20"/>
        <w:u w:val="single"/>
        <w:rtl/>
        <w:lang w:val="x-none" w:eastAsia="x-none" w:bidi="ar-JO"/>
      </w:rPr>
      <w:t xml:space="preserve">    </w:t>
    </w:r>
    <w:r w:rsidRPr="00DE355B">
      <w:rPr>
        <w:b/>
        <w:bCs/>
        <w:sz w:val="20"/>
        <w:szCs w:val="20"/>
        <w:u w:val="single"/>
        <w:lang w:val="x-none" w:eastAsia="x-none" w:bidi="ar-JO"/>
      </w:rPr>
      <w:t xml:space="preserve">      </w:t>
    </w:r>
    <w:r w:rsidRPr="00DE355B">
      <w:rPr>
        <w:rFonts w:hint="cs"/>
        <w:b/>
        <w:bCs/>
        <w:sz w:val="20"/>
        <w:szCs w:val="20"/>
        <w:u w:val="single"/>
        <w:rtl/>
        <w:lang w:val="x-none" w:eastAsia="x-none" w:bidi="ar-JO"/>
      </w:rPr>
      <w:t xml:space="preserve"> مجلة بابل الطبية- المجلد العاشر- العدد الاول- 201</w:t>
    </w:r>
    <w:r w:rsidRPr="00DE355B">
      <w:rPr>
        <w:rFonts w:hint="cs"/>
        <w:b/>
        <w:bCs/>
        <w:sz w:val="20"/>
        <w:szCs w:val="20"/>
        <w:u w:val="single"/>
        <w:rtl/>
        <w:lang w:val="x-none" w:eastAsia="x-none" w:bidi="ar-IQ"/>
      </w:rPr>
      <w:t>3</w:t>
    </w:r>
  </w:p>
  <w:p w:rsidR="00DE355B" w:rsidRPr="00DE355B" w:rsidRDefault="00B27782" w:rsidP="00DE355B">
    <w:pPr>
      <w:pStyle w:val="a6"/>
      <w:bidi w:val="0"/>
      <w:rPr>
        <w:lang w:val="x-none" w:bidi="ar-IQ"/>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63E20"/>
    <w:multiLevelType w:val="hybridMultilevel"/>
    <w:tmpl w:val="632C12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8865ED9"/>
    <w:multiLevelType w:val="hybridMultilevel"/>
    <w:tmpl w:val="5740B272"/>
    <w:lvl w:ilvl="0" w:tplc="5BBC9F54">
      <w:start w:val="1"/>
      <w:numFmt w:val="decimal"/>
      <w:lvlText w:val="%1."/>
      <w:lvlJc w:val="left"/>
      <w:pPr>
        <w:tabs>
          <w:tab w:val="num" w:pos="644"/>
        </w:tabs>
        <w:ind w:left="644" w:hanging="360"/>
      </w:pPr>
      <w:rPr>
        <w:b w:val="0"/>
        <w:bCs w:val="0"/>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315"/>
    <w:rsid w:val="00113A93"/>
    <w:rsid w:val="001D5D44"/>
    <w:rsid w:val="002E6654"/>
    <w:rsid w:val="003753A5"/>
    <w:rsid w:val="003766D8"/>
    <w:rsid w:val="00476EB7"/>
    <w:rsid w:val="00672E5A"/>
    <w:rsid w:val="00786CFB"/>
    <w:rsid w:val="007914B6"/>
    <w:rsid w:val="00870912"/>
    <w:rsid w:val="008D0D4F"/>
    <w:rsid w:val="00A7398D"/>
    <w:rsid w:val="00B01315"/>
    <w:rsid w:val="00B27782"/>
    <w:rsid w:val="00B53115"/>
    <w:rsid w:val="00B80129"/>
    <w:rsid w:val="00BF1995"/>
    <w:rsid w:val="00E55747"/>
    <w:rsid w:val="00F577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315"/>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4">
    <w:name w:val="A4"/>
    <w:rsid w:val="00B01315"/>
    <w:rPr>
      <w:rFonts w:cs="Times"/>
      <w:b/>
      <w:bCs/>
      <w:color w:val="000000"/>
      <w:sz w:val="20"/>
      <w:szCs w:val="20"/>
    </w:rPr>
  </w:style>
  <w:style w:type="character" w:customStyle="1" w:styleId="A00">
    <w:name w:val="A0"/>
    <w:rsid w:val="00B01315"/>
    <w:rPr>
      <w:rFonts w:cs="Times"/>
      <w:b/>
      <w:bCs/>
      <w:color w:val="000000"/>
      <w:sz w:val="18"/>
      <w:szCs w:val="18"/>
    </w:rPr>
  </w:style>
  <w:style w:type="paragraph" w:styleId="a3">
    <w:name w:val="footer"/>
    <w:basedOn w:val="a"/>
    <w:link w:val="Char"/>
    <w:rsid w:val="00B01315"/>
    <w:pPr>
      <w:tabs>
        <w:tab w:val="center" w:pos="4153"/>
        <w:tab w:val="right" w:pos="8306"/>
      </w:tabs>
    </w:pPr>
  </w:style>
  <w:style w:type="character" w:customStyle="1" w:styleId="Char">
    <w:name w:val="تذييل الصفحة Char"/>
    <w:basedOn w:val="a0"/>
    <w:link w:val="a3"/>
    <w:rsid w:val="00B01315"/>
    <w:rPr>
      <w:rFonts w:ascii="Times New Roman" w:eastAsia="Times New Roman" w:hAnsi="Times New Roman" w:cs="Times New Roman"/>
      <w:sz w:val="24"/>
      <w:szCs w:val="24"/>
    </w:rPr>
  </w:style>
  <w:style w:type="character" w:styleId="a5">
    <w:name w:val="page number"/>
    <w:basedOn w:val="a0"/>
    <w:rsid w:val="00B01315"/>
  </w:style>
  <w:style w:type="paragraph" w:styleId="a6">
    <w:name w:val="header"/>
    <w:basedOn w:val="a"/>
    <w:link w:val="Char0"/>
    <w:rsid w:val="00B01315"/>
    <w:pPr>
      <w:tabs>
        <w:tab w:val="center" w:pos="4153"/>
        <w:tab w:val="right" w:pos="8306"/>
      </w:tabs>
    </w:pPr>
  </w:style>
  <w:style w:type="character" w:customStyle="1" w:styleId="Char0">
    <w:name w:val="رأس الصفحة Char"/>
    <w:basedOn w:val="a0"/>
    <w:link w:val="a6"/>
    <w:rsid w:val="00B01315"/>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315"/>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4">
    <w:name w:val="A4"/>
    <w:rsid w:val="00B01315"/>
    <w:rPr>
      <w:rFonts w:cs="Times"/>
      <w:b/>
      <w:bCs/>
      <w:color w:val="000000"/>
      <w:sz w:val="20"/>
      <w:szCs w:val="20"/>
    </w:rPr>
  </w:style>
  <w:style w:type="character" w:customStyle="1" w:styleId="A00">
    <w:name w:val="A0"/>
    <w:rsid w:val="00B01315"/>
    <w:rPr>
      <w:rFonts w:cs="Times"/>
      <w:b/>
      <w:bCs/>
      <w:color w:val="000000"/>
      <w:sz w:val="18"/>
      <w:szCs w:val="18"/>
    </w:rPr>
  </w:style>
  <w:style w:type="paragraph" w:styleId="a3">
    <w:name w:val="footer"/>
    <w:basedOn w:val="a"/>
    <w:link w:val="Char"/>
    <w:rsid w:val="00B01315"/>
    <w:pPr>
      <w:tabs>
        <w:tab w:val="center" w:pos="4153"/>
        <w:tab w:val="right" w:pos="8306"/>
      </w:tabs>
    </w:pPr>
  </w:style>
  <w:style w:type="character" w:customStyle="1" w:styleId="Char">
    <w:name w:val="تذييل الصفحة Char"/>
    <w:basedOn w:val="a0"/>
    <w:link w:val="a3"/>
    <w:rsid w:val="00B01315"/>
    <w:rPr>
      <w:rFonts w:ascii="Times New Roman" w:eastAsia="Times New Roman" w:hAnsi="Times New Roman" w:cs="Times New Roman"/>
      <w:sz w:val="24"/>
      <w:szCs w:val="24"/>
    </w:rPr>
  </w:style>
  <w:style w:type="character" w:styleId="a5">
    <w:name w:val="page number"/>
    <w:basedOn w:val="a0"/>
    <w:rsid w:val="00B01315"/>
  </w:style>
  <w:style w:type="paragraph" w:styleId="a6">
    <w:name w:val="header"/>
    <w:basedOn w:val="a"/>
    <w:link w:val="Char0"/>
    <w:rsid w:val="00B01315"/>
    <w:pPr>
      <w:tabs>
        <w:tab w:val="center" w:pos="4153"/>
        <w:tab w:val="right" w:pos="8306"/>
      </w:tabs>
    </w:pPr>
  </w:style>
  <w:style w:type="character" w:customStyle="1" w:styleId="Char0">
    <w:name w:val="رأس الصفحة Char"/>
    <w:basedOn w:val="a0"/>
    <w:link w:val="a6"/>
    <w:rsid w:val="00B0131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3366</Words>
  <Characters>19189</Characters>
  <Application>Microsoft Office Word</Application>
  <DocSecurity>0</DocSecurity>
  <Lines>159</Lines>
  <Paragraphs>45</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22510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Dr.moaed</dc:creator>
  <cp:lastModifiedBy>Abdulsamie</cp:lastModifiedBy>
  <cp:revision>5</cp:revision>
  <cp:lastPrinted>2013-05-26T00:14:00Z</cp:lastPrinted>
  <dcterms:created xsi:type="dcterms:W3CDTF">2013-05-21T19:14:00Z</dcterms:created>
  <dcterms:modified xsi:type="dcterms:W3CDTF">2013-05-26T00:14:00Z</dcterms:modified>
</cp:coreProperties>
</file>