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22" w:rsidRDefault="001E6AA7" w:rsidP="000D1AA4">
      <w:pPr>
        <w:bidi w:val="0"/>
        <w:spacing w:after="0" w:line="240" w:lineRule="auto"/>
        <w:jc w:val="both"/>
        <w:rPr>
          <w:rFonts w:asciiTheme="majorHAnsi" w:hAnsiTheme="majorHAnsi" w:cs="Andalus"/>
          <w:sz w:val="32"/>
          <w:szCs w:val="32"/>
        </w:rPr>
      </w:pPr>
      <w:r w:rsidRPr="001E6AA7">
        <w:rPr>
          <w:noProof/>
        </w:rPr>
        <w:pict>
          <v:shapetype id="_x0000_t202" coordsize="21600,21600" o:spt="202" path="m,l,21600r21600,l21600,xe">
            <v:stroke joinstyle="miter"/>
            <v:path gradientshapeok="t" o:connecttype="rect"/>
          </v:shapetype>
          <v:shape id="مربع نص 2" o:spid="_x0000_s1026" type="#_x0000_t202" style="position:absolute;left:0;text-align:left;margin-left:-.9pt;margin-top:-1.2pt;width:413.45pt;height:100.8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nThick"/>
            <v:textbox>
              <w:txbxContent>
                <w:p w:rsidR="00CB4822" w:rsidRPr="00CB4822" w:rsidRDefault="00CB4822" w:rsidP="00CB4822">
                  <w:pPr>
                    <w:bidi w:val="0"/>
                    <w:spacing w:after="0" w:line="240" w:lineRule="auto"/>
                    <w:jc w:val="center"/>
                    <w:rPr>
                      <w:rFonts w:asciiTheme="majorBidi" w:hAnsiTheme="majorBidi" w:cstheme="majorBidi"/>
                      <w:sz w:val="28"/>
                      <w:szCs w:val="28"/>
                      <w:rtl/>
                      <w:lang w:bidi="ar-IQ"/>
                    </w:rPr>
                  </w:pPr>
                  <w:r w:rsidRPr="00CB4822">
                    <w:rPr>
                      <w:rFonts w:asciiTheme="majorBidi" w:hAnsiTheme="majorBidi" w:cstheme="majorBidi"/>
                      <w:b/>
                      <w:bCs/>
                      <w:sz w:val="28"/>
                      <w:szCs w:val="28"/>
                    </w:rPr>
                    <w:t>Physiological and Neurological Study of Chronic Renal Failure Patients with Continuous Hemodialysis</w:t>
                  </w:r>
                </w:p>
                <w:p w:rsidR="00CB4822" w:rsidRDefault="00CB4822" w:rsidP="00CB4822">
                  <w:pPr>
                    <w:bidi w:val="0"/>
                    <w:spacing w:after="0" w:line="240" w:lineRule="auto"/>
                    <w:jc w:val="both"/>
                    <w:rPr>
                      <w:rFonts w:asciiTheme="majorBidi" w:hAnsiTheme="majorBidi" w:cstheme="majorBidi"/>
                      <w:sz w:val="24"/>
                      <w:szCs w:val="24"/>
                      <w:lang w:bidi="ar-IQ"/>
                    </w:rPr>
                  </w:pPr>
                  <w:r w:rsidRPr="000D1AA4">
                    <w:rPr>
                      <w:rFonts w:asciiTheme="majorBidi" w:hAnsiTheme="majorBidi" w:cstheme="majorBidi"/>
                      <w:sz w:val="24"/>
                      <w:szCs w:val="24"/>
                      <w:lang w:bidi="ar-IQ"/>
                    </w:rPr>
                    <w:t xml:space="preserve">   </w:t>
                  </w:r>
                </w:p>
                <w:p w:rsidR="00CB4822" w:rsidRPr="000D1AA4" w:rsidRDefault="00CB4822" w:rsidP="00CB4822">
                  <w:pPr>
                    <w:bidi w:val="0"/>
                    <w:spacing w:after="0" w:line="240" w:lineRule="auto"/>
                    <w:jc w:val="both"/>
                    <w:rPr>
                      <w:rFonts w:asciiTheme="majorBidi" w:hAnsiTheme="majorBidi" w:cstheme="majorBidi"/>
                      <w:sz w:val="24"/>
                      <w:szCs w:val="24"/>
                      <w:lang w:bidi="ar-IQ"/>
                    </w:rPr>
                  </w:pPr>
                  <w:proofErr w:type="spellStart"/>
                  <w:r w:rsidRPr="000D1AA4">
                    <w:rPr>
                      <w:rFonts w:asciiTheme="majorBidi" w:hAnsiTheme="majorBidi" w:cstheme="majorBidi"/>
                      <w:sz w:val="24"/>
                      <w:szCs w:val="24"/>
                      <w:lang w:bidi="ar-IQ"/>
                    </w:rPr>
                    <w:t>Shafak</w:t>
                  </w:r>
                  <w:proofErr w:type="spellEnd"/>
                  <w:r w:rsidRPr="000D1AA4">
                    <w:rPr>
                      <w:rFonts w:asciiTheme="majorBidi" w:hAnsiTheme="majorBidi" w:cstheme="majorBidi"/>
                      <w:sz w:val="24"/>
                      <w:szCs w:val="24"/>
                      <w:lang w:bidi="ar-IQ"/>
                    </w:rPr>
                    <w:t xml:space="preserve">  </w:t>
                  </w:r>
                  <w:proofErr w:type="spellStart"/>
                  <w:r w:rsidRPr="000D1AA4">
                    <w:rPr>
                      <w:rFonts w:asciiTheme="majorBidi" w:hAnsiTheme="majorBidi" w:cstheme="majorBidi"/>
                      <w:sz w:val="24"/>
                      <w:szCs w:val="24"/>
                      <w:lang w:bidi="ar-IQ"/>
                    </w:rPr>
                    <w:t>Namah</w:t>
                  </w:r>
                  <w:proofErr w:type="spellEnd"/>
                  <w:r w:rsidRPr="000D1AA4">
                    <w:rPr>
                      <w:rFonts w:asciiTheme="majorBidi" w:hAnsiTheme="majorBidi" w:cstheme="majorBidi"/>
                      <w:sz w:val="24"/>
                      <w:szCs w:val="24"/>
                      <w:lang w:bidi="ar-IQ"/>
                    </w:rPr>
                    <w:t xml:space="preserve">  </w:t>
                  </w:r>
                  <w:proofErr w:type="spellStart"/>
                  <w:r w:rsidRPr="000D1AA4">
                    <w:rPr>
                      <w:rFonts w:asciiTheme="majorBidi" w:hAnsiTheme="majorBidi" w:cstheme="majorBidi"/>
                      <w:sz w:val="24"/>
                      <w:szCs w:val="24"/>
                      <w:lang w:bidi="ar-IQ"/>
                    </w:rPr>
                    <w:t>Hadi</w:t>
                  </w:r>
                  <w:proofErr w:type="spellEnd"/>
                  <w:r w:rsidRPr="00CB4822">
                    <w:rPr>
                      <w:rFonts w:asciiTheme="majorBidi" w:hAnsiTheme="majorBidi" w:cstheme="majorBidi"/>
                      <w:sz w:val="24"/>
                      <w:szCs w:val="24"/>
                      <w:vertAlign w:val="superscript"/>
                      <w:lang w:bidi="ar-IQ"/>
                    </w:rPr>
                    <w:t>§</w:t>
                  </w:r>
                  <w:r>
                    <w:rPr>
                      <w:rFonts w:asciiTheme="majorBidi" w:hAnsiTheme="majorBidi" w:cstheme="majorBidi"/>
                      <w:sz w:val="24"/>
                      <w:szCs w:val="24"/>
                      <w:lang w:bidi="ar-IQ"/>
                    </w:rPr>
                    <w:t xml:space="preserve">    </w:t>
                  </w:r>
                  <w:r w:rsidR="00132A7C">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Pr>
                      <w:rFonts w:asciiTheme="majorBidi" w:hAnsiTheme="majorBidi" w:cstheme="majorBidi"/>
                      <w:sz w:val="24"/>
                      <w:szCs w:val="24"/>
                    </w:rPr>
                    <w:t>Muhammad O. AL-</w:t>
                  </w:r>
                  <w:proofErr w:type="spellStart"/>
                  <w:r>
                    <w:rPr>
                      <w:rFonts w:asciiTheme="majorBidi" w:hAnsiTheme="majorBidi" w:cstheme="majorBidi"/>
                      <w:sz w:val="24"/>
                      <w:szCs w:val="24"/>
                    </w:rPr>
                    <w:t>Muhammadi</w:t>
                  </w:r>
                  <w:proofErr w:type="spellEnd"/>
                  <w:r>
                    <w:rPr>
                      <w:rFonts w:asciiTheme="majorBidi" w:hAnsiTheme="majorBidi" w:cstheme="majorBidi"/>
                      <w:sz w:val="24"/>
                      <w:szCs w:val="24"/>
                    </w:rPr>
                    <w:t xml:space="preserve">      </w:t>
                  </w:r>
                  <w:proofErr w:type="spellStart"/>
                  <w:r w:rsidRPr="000D1AA4">
                    <w:rPr>
                      <w:rFonts w:asciiTheme="majorBidi" w:hAnsiTheme="majorBidi" w:cstheme="majorBidi"/>
                      <w:sz w:val="24"/>
                      <w:szCs w:val="24"/>
                    </w:rPr>
                    <w:t>Moshtak</w:t>
                  </w:r>
                  <w:proofErr w:type="spellEnd"/>
                  <w:r w:rsidRPr="000D1AA4">
                    <w:rPr>
                      <w:rFonts w:asciiTheme="majorBidi" w:hAnsiTheme="majorBidi" w:cstheme="majorBidi"/>
                      <w:sz w:val="24"/>
                      <w:szCs w:val="24"/>
                    </w:rPr>
                    <w:t xml:space="preserve">  A.  </w:t>
                  </w:r>
                  <w:proofErr w:type="spellStart"/>
                  <w:r w:rsidRPr="000D1AA4">
                    <w:rPr>
                      <w:rFonts w:asciiTheme="majorBidi" w:hAnsiTheme="majorBidi" w:cstheme="majorBidi"/>
                      <w:sz w:val="24"/>
                      <w:szCs w:val="24"/>
                    </w:rPr>
                    <w:t>Wtwt</w:t>
                  </w:r>
                  <w:proofErr w:type="spellEnd"/>
                </w:p>
                <w:p w:rsidR="00CB4822" w:rsidRPr="000D1AA4" w:rsidRDefault="00CB4822" w:rsidP="00CB4822">
                  <w:pPr>
                    <w:bidi w:val="0"/>
                    <w:spacing w:after="0" w:line="240" w:lineRule="auto"/>
                    <w:jc w:val="both"/>
                    <w:rPr>
                      <w:rFonts w:asciiTheme="majorBidi" w:hAnsiTheme="majorBidi" w:cstheme="majorBidi"/>
                      <w:sz w:val="24"/>
                      <w:szCs w:val="24"/>
                    </w:rPr>
                  </w:pPr>
                  <w:r w:rsidRPr="000D1AA4">
                    <w:rPr>
                      <w:rFonts w:asciiTheme="majorBidi" w:hAnsiTheme="majorBidi" w:cstheme="majorBidi"/>
                      <w:sz w:val="24"/>
                      <w:szCs w:val="24"/>
                    </w:rPr>
                    <w:t>College of Medicine</w:t>
                  </w:r>
                  <w:r>
                    <w:rPr>
                      <w:rFonts w:asciiTheme="majorBidi" w:hAnsiTheme="majorBidi" w:cstheme="majorBidi"/>
                      <w:sz w:val="24"/>
                      <w:szCs w:val="24"/>
                    </w:rPr>
                    <w:t>,</w:t>
                  </w:r>
                  <w:r w:rsidRPr="000D1AA4">
                    <w:rPr>
                      <w:rFonts w:asciiTheme="majorBidi" w:hAnsiTheme="majorBidi" w:cstheme="majorBidi"/>
                      <w:sz w:val="24"/>
                      <w:szCs w:val="24"/>
                    </w:rPr>
                    <w:t xml:space="preserve"> University of Babylon,</w:t>
                  </w:r>
                  <w:r>
                    <w:rPr>
                      <w:rFonts w:asciiTheme="majorBidi" w:hAnsiTheme="majorBidi" w:cstheme="majorBidi"/>
                      <w:sz w:val="24"/>
                      <w:szCs w:val="24"/>
                    </w:rPr>
                    <w:t xml:space="preserve"> </w:t>
                  </w:r>
                  <w:proofErr w:type="spellStart"/>
                  <w:r>
                    <w:rPr>
                      <w:rFonts w:asciiTheme="majorBidi" w:hAnsiTheme="majorBidi" w:cstheme="majorBidi"/>
                      <w:sz w:val="24"/>
                      <w:szCs w:val="24"/>
                    </w:rPr>
                    <w:t>Hilla</w:t>
                  </w:r>
                  <w:proofErr w:type="spellEnd"/>
                  <w:r>
                    <w:rPr>
                      <w:rFonts w:asciiTheme="majorBidi" w:hAnsiTheme="majorBidi" w:cstheme="majorBidi"/>
                      <w:sz w:val="24"/>
                      <w:szCs w:val="24"/>
                    </w:rPr>
                    <w:t>, Iraq.</w:t>
                  </w:r>
                  <w:r w:rsidRPr="000D1AA4">
                    <w:rPr>
                      <w:rFonts w:asciiTheme="majorBidi" w:hAnsiTheme="majorBidi" w:cstheme="majorBidi"/>
                      <w:sz w:val="24"/>
                      <w:szCs w:val="24"/>
                    </w:rPr>
                    <w:t xml:space="preserve"> </w:t>
                  </w:r>
                </w:p>
                <w:p w:rsidR="00CB4822" w:rsidRDefault="00CB4822" w:rsidP="00011AC3">
                  <w:pPr>
                    <w:bidi w:val="0"/>
                    <w:jc w:val="both"/>
                    <w:rPr>
                      <w:rtl/>
                      <w:lang w:bidi="ar-IQ"/>
                    </w:rPr>
                  </w:pPr>
                  <w:r w:rsidRPr="00CB4822">
                    <w:rPr>
                      <w:rFonts w:asciiTheme="majorBidi" w:hAnsiTheme="majorBidi" w:cstheme="majorBidi"/>
                      <w:sz w:val="24"/>
                      <w:szCs w:val="24"/>
                      <w:vertAlign w:val="superscript"/>
                    </w:rPr>
                    <w:t>§</w:t>
                  </w:r>
                  <w:r w:rsidRPr="000D1AA4">
                    <w:rPr>
                      <w:rFonts w:asciiTheme="majorBidi" w:hAnsiTheme="majorBidi" w:cstheme="majorBidi"/>
                      <w:sz w:val="24"/>
                      <w:szCs w:val="24"/>
                    </w:rPr>
                    <w:t>Shafak_adab@yahoo</w:t>
                  </w:r>
                  <w:r w:rsidR="00011AC3">
                    <w:rPr>
                      <w:rFonts w:asciiTheme="majorBidi" w:hAnsiTheme="majorBidi" w:cstheme="majorBidi"/>
                      <w:sz w:val="24"/>
                      <w:szCs w:val="24"/>
                    </w:rPr>
                    <w:t>.</w:t>
                  </w:r>
                  <w:r w:rsidRPr="000D1AA4">
                    <w:rPr>
                      <w:rFonts w:asciiTheme="majorBidi" w:hAnsiTheme="majorBidi" w:cstheme="majorBidi"/>
                      <w:sz w:val="24"/>
                      <w:szCs w:val="24"/>
                    </w:rPr>
                    <w:t>com</w:t>
                  </w:r>
                </w:p>
              </w:txbxContent>
            </v:textbox>
          </v:shape>
        </w:pict>
      </w:r>
    </w:p>
    <w:p w:rsidR="00CB4822" w:rsidRDefault="00CB4822" w:rsidP="00CB4822">
      <w:pPr>
        <w:bidi w:val="0"/>
        <w:spacing w:after="0" w:line="240" w:lineRule="auto"/>
        <w:jc w:val="both"/>
        <w:rPr>
          <w:rFonts w:asciiTheme="majorHAnsi" w:hAnsiTheme="majorHAnsi" w:cs="Andalus"/>
          <w:sz w:val="32"/>
          <w:szCs w:val="32"/>
        </w:rPr>
      </w:pPr>
    </w:p>
    <w:p w:rsidR="00CB4822" w:rsidRDefault="00CB4822" w:rsidP="00CB4822">
      <w:pPr>
        <w:bidi w:val="0"/>
        <w:spacing w:after="0" w:line="240" w:lineRule="auto"/>
        <w:jc w:val="both"/>
        <w:rPr>
          <w:rFonts w:asciiTheme="majorHAnsi" w:hAnsiTheme="majorHAnsi" w:cs="Andalus"/>
          <w:sz w:val="32"/>
          <w:szCs w:val="32"/>
        </w:rPr>
      </w:pPr>
    </w:p>
    <w:p w:rsidR="00CB4822" w:rsidRDefault="00CB4822" w:rsidP="00CB4822">
      <w:pPr>
        <w:bidi w:val="0"/>
        <w:spacing w:after="0" w:line="240" w:lineRule="auto"/>
        <w:jc w:val="both"/>
        <w:rPr>
          <w:rFonts w:asciiTheme="majorHAnsi" w:hAnsiTheme="majorHAnsi" w:cs="Andalus"/>
          <w:sz w:val="32"/>
          <w:szCs w:val="32"/>
        </w:rPr>
      </w:pPr>
    </w:p>
    <w:p w:rsidR="00CB4822" w:rsidRDefault="00CB4822" w:rsidP="00CB4822">
      <w:pPr>
        <w:bidi w:val="0"/>
        <w:spacing w:after="0" w:line="240" w:lineRule="auto"/>
        <w:jc w:val="both"/>
        <w:rPr>
          <w:rFonts w:asciiTheme="majorHAnsi" w:hAnsiTheme="majorHAnsi" w:cs="Andalus"/>
          <w:sz w:val="32"/>
          <w:szCs w:val="32"/>
        </w:rPr>
      </w:pPr>
    </w:p>
    <w:p w:rsidR="00CB4822" w:rsidRDefault="00CB4822" w:rsidP="00CB4822">
      <w:pPr>
        <w:bidi w:val="0"/>
        <w:spacing w:after="0" w:line="240" w:lineRule="auto"/>
        <w:jc w:val="both"/>
        <w:rPr>
          <w:rFonts w:asciiTheme="majorHAnsi" w:hAnsiTheme="majorHAnsi" w:cs="Andalus"/>
          <w:sz w:val="32"/>
          <w:szCs w:val="32"/>
        </w:rPr>
      </w:pPr>
    </w:p>
    <w:p w:rsidR="00CB4822" w:rsidRDefault="00132A7C" w:rsidP="00CB4822">
      <w:pPr>
        <w:bidi w:val="0"/>
        <w:spacing w:after="0" w:line="240" w:lineRule="auto"/>
        <w:jc w:val="both"/>
        <w:rPr>
          <w:rFonts w:asciiTheme="majorHAnsi" w:hAnsiTheme="majorHAnsi" w:cs="Andalus"/>
          <w:sz w:val="32"/>
          <w:szCs w:val="32"/>
        </w:rPr>
      </w:pPr>
      <w:r w:rsidRPr="00E34850">
        <w:rPr>
          <w:rFonts w:asciiTheme="majorBidi" w:hAnsiTheme="majorBidi" w:cstheme="majorBidi"/>
          <w:noProof/>
        </w:rPr>
        <w:drawing>
          <wp:anchor distT="0" distB="0" distL="114300" distR="114300" simplePos="0" relativeHeight="251661312" behindDoc="1" locked="0" layoutInCell="1" allowOverlap="1">
            <wp:simplePos x="0" y="0"/>
            <wp:positionH relativeFrom="column">
              <wp:posOffset>1907540</wp:posOffset>
            </wp:positionH>
            <wp:positionV relativeFrom="paragraph">
              <wp:posOffset>78740</wp:posOffset>
            </wp:positionV>
            <wp:extent cx="1391920" cy="1105535"/>
            <wp:effectExtent l="0" t="0" r="0" b="0"/>
            <wp:wrapThrough wrapText="bothSides">
              <wp:wrapPolygon edited="0">
                <wp:start x="0" y="0"/>
                <wp:lineTo x="0" y="21215"/>
                <wp:lineTo x="21285" y="21215"/>
                <wp:lineTo x="21285" y="0"/>
                <wp:lineTo x="0" y="0"/>
              </wp:wrapPolygon>
            </wp:wrapThrough>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920" cy="1105535"/>
                    </a:xfrm>
                    <a:prstGeom prst="rect">
                      <a:avLst/>
                    </a:prstGeom>
                    <a:noFill/>
                    <a:ln>
                      <a:noFill/>
                    </a:ln>
                  </pic:spPr>
                </pic:pic>
              </a:graphicData>
            </a:graphic>
          </wp:anchor>
        </w:drawing>
      </w:r>
    </w:p>
    <w:p w:rsidR="00292C82" w:rsidRPr="006F12A3" w:rsidRDefault="006F12A3" w:rsidP="00CB4822">
      <w:pPr>
        <w:bidi w:val="0"/>
        <w:spacing w:after="0" w:line="240" w:lineRule="auto"/>
        <w:jc w:val="both"/>
        <w:rPr>
          <w:rFonts w:asciiTheme="majorHAnsi" w:hAnsiTheme="majorHAnsi" w:cs="Andalus"/>
          <w:sz w:val="32"/>
          <w:szCs w:val="32"/>
        </w:rPr>
      </w:pPr>
      <w:r w:rsidRPr="006F12A3">
        <w:rPr>
          <w:rFonts w:asciiTheme="majorHAnsi" w:hAnsiTheme="majorHAnsi" w:cs="Andalus"/>
          <w:sz w:val="32"/>
          <w:szCs w:val="32"/>
        </w:rPr>
        <w:t xml:space="preserve"> </w:t>
      </w:r>
    </w:p>
    <w:p w:rsidR="00277C14" w:rsidRDefault="00277C14" w:rsidP="00CB4822">
      <w:pPr>
        <w:spacing w:after="0" w:line="240" w:lineRule="auto"/>
        <w:rPr>
          <w:rFonts w:asciiTheme="majorBidi" w:hAnsiTheme="majorBidi" w:cstheme="majorBidi"/>
          <w:sz w:val="20"/>
          <w:szCs w:val="20"/>
          <w:u w:val="single"/>
          <w:rtl/>
          <w:lang w:bidi="ar-IQ"/>
        </w:rPr>
      </w:pPr>
    </w:p>
    <w:p w:rsidR="00132A7C" w:rsidRDefault="00132A7C" w:rsidP="00CB4822">
      <w:pPr>
        <w:spacing w:after="0" w:line="240" w:lineRule="auto"/>
        <w:rPr>
          <w:rFonts w:asciiTheme="majorBidi" w:hAnsiTheme="majorBidi" w:cstheme="majorBidi"/>
          <w:sz w:val="20"/>
          <w:szCs w:val="20"/>
          <w:u w:val="single"/>
          <w:rtl/>
          <w:lang w:bidi="ar-IQ"/>
        </w:rPr>
      </w:pPr>
    </w:p>
    <w:p w:rsidR="00132A7C" w:rsidRDefault="00132A7C" w:rsidP="00CB4822">
      <w:pPr>
        <w:spacing w:after="0" w:line="240" w:lineRule="auto"/>
        <w:rPr>
          <w:rFonts w:asciiTheme="majorBidi" w:hAnsiTheme="majorBidi" w:cstheme="majorBidi"/>
          <w:sz w:val="20"/>
          <w:szCs w:val="20"/>
          <w:u w:val="single"/>
          <w:rtl/>
          <w:lang w:bidi="ar-IQ"/>
        </w:rPr>
      </w:pPr>
    </w:p>
    <w:p w:rsidR="00132A7C" w:rsidRDefault="00132A7C" w:rsidP="00CB4822">
      <w:pPr>
        <w:spacing w:after="0" w:line="240" w:lineRule="auto"/>
        <w:rPr>
          <w:rFonts w:asciiTheme="majorBidi" w:hAnsiTheme="majorBidi" w:cstheme="majorBidi"/>
          <w:sz w:val="20"/>
          <w:szCs w:val="20"/>
          <w:u w:val="single"/>
          <w:rtl/>
          <w:lang w:bidi="ar-IQ"/>
        </w:rPr>
      </w:pPr>
    </w:p>
    <w:p w:rsidR="00132A7C" w:rsidRDefault="00132A7C" w:rsidP="00CB4822">
      <w:pPr>
        <w:spacing w:after="0" w:line="240" w:lineRule="auto"/>
        <w:rPr>
          <w:rFonts w:asciiTheme="majorBidi" w:hAnsiTheme="majorBidi" w:cstheme="majorBidi"/>
          <w:sz w:val="20"/>
          <w:szCs w:val="20"/>
          <w:u w:val="single"/>
          <w:rtl/>
          <w:lang w:bidi="ar-IQ"/>
        </w:rPr>
      </w:pPr>
    </w:p>
    <w:p w:rsidR="00132A7C" w:rsidRDefault="004956EE" w:rsidP="004956EE">
      <w:pPr>
        <w:bidi w:val="0"/>
        <w:spacing w:after="0" w:line="240" w:lineRule="auto"/>
        <w:jc w:val="center"/>
        <w:rPr>
          <w:rFonts w:asciiTheme="majorBidi" w:hAnsiTheme="majorBidi" w:cstheme="majorBidi"/>
          <w:sz w:val="20"/>
          <w:szCs w:val="20"/>
          <w:u w:val="single"/>
          <w:lang w:bidi="ar-IQ"/>
        </w:rPr>
      </w:pPr>
      <w:r>
        <w:rPr>
          <w:rFonts w:asciiTheme="majorBidi" w:hAnsiTheme="majorBidi" w:cstheme="majorBidi"/>
          <w:b/>
          <w:bCs/>
          <w:sz w:val="24"/>
          <w:szCs w:val="24"/>
          <w:u w:val="single"/>
        </w:rPr>
        <w:t xml:space="preserve">Received  </w:t>
      </w:r>
      <w:r w:rsidR="006F6331">
        <w:rPr>
          <w:rFonts w:asciiTheme="majorBidi" w:hAnsiTheme="majorBidi" w:cstheme="majorBidi"/>
          <w:b/>
          <w:bCs/>
          <w:sz w:val="24"/>
          <w:szCs w:val="24"/>
          <w:u w:val="single"/>
        </w:rPr>
        <w:t>22 September 2013</w:t>
      </w:r>
      <w:r w:rsidRPr="00006EA8">
        <w:rPr>
          <w:rFonts w:asciiTheme="majorBidi" w:hAnsiTheme="majorBidi" w:cstheme="majorBidi"/>
          <w:sz w:val="24"/>
          <w:szCs w:val="24"/>
          <w:lang w:bidi="ar-IQ"/>
        </w:rPr>
        <w:t xml:space="preserve">         </w:t>
      </w:r>
      <w:r w:rsidR="006F6331">
        <w:rPr>
          <w:rFonts w:asciiTheme="majorBidi" w:hAnsiTheme="majorBidi" w:cstheme="majorBidi"/>
          <w:b/>
          <w:bCs/>
          <w:sz w:val="24"/>
          <w:szCs w:val="24"/>
          <w:u w:val="single"/>
        </w:rPr>
        <w:t xml:space="preserve">Accepted 31 </w:t>
      </w:r>
      <w:r>
        <w:rPr>
          <w:rFonts w:asciiTheme="majorBidi" w:hAnsiTheme="majorBidi" w:cstheme="majorBidi"/>
          <w:b/>
          <w:bCs/>
          <w:sz w:val="24"/>
          <w:szCs w:val="24"/>
          <w:u w:val="single"/>
        </w:rPr>
        <w:t>October</w:t>
      </w:r>
      <w:r w:rsidR="006F6331">
        <w:rPr>
          <w:rFonts w:asciiTheme="majorBidi" w:hAnsiTheme="majorBidi" w:cstheme="majorBidi"/>
          <w:b/>
          <w:bCs/>
          <w:sz w:val="24"/>
          <w:szCs w:val="24"/>
          <w:u w:val="single"/>
        </w:rPr>
        <w:t xml:space="preserve"> 2013</w:t>
      </w:r>
    </w:p>
    <w:p w:rsidR="007A7BC5" w:rsidRPr="00CB4822" w:rsidRDefault="00B7483A" w:rsidP="00CB4822">
      <w:pPr>
        <w:spacing w:after="0" w:line="240" w:lineRule="auto"/>
        <w:jc w:val="right"/>
        <w:rPr>
          <w:rFonts w:asciiTheme="majorBidi" w:hAnsiTheme="majorBidi" w:cstheme="majorBidi"/>
          <w:b/>
          <w:bCs/>
          <w:sz w:val="24"/>
          <w:szCs w:val="24"/>
          <w:u w:val="single"/>
          <w:lang w:bidi="ar-IQ"/>
        </w:rPr>
      </w:pPr>
      <w:r w:rsidRPr="00CB4822">
        <w:rPr>
          <w:rFonts w:asciiTheme="majorBidi" w:hAnsiTheme="majorBidi" w:cstheme="majorBidi"/>
          <w:b/>
          <w:bCs/>
          <w:sz w:val="24"/>
          <w:szCs w:val="24"/>
          <w:u w:val="single"/>
          <w:lang w:bidi="ar-IQ"/>
        </w:rPr>
        <w:t xml:space="preserve">Abstract </w:t>
      </w:r>
    </w:p>
    <w:p w:rsidR="00853480" w:rsidRDefault="008806B0" w:rsidP="00853480">
      <w:pPr>
        <w:autoSpaceDE w:val="0"/>
        <w:autoSpaceDN w:val="0"/>
        <w:bidi w:val="0"/>
        <w:adjustRightInd w:val="0"/>
        <w:spacing w:after="0"/>
        <w:jc w:val="both"/>
        <w:rPr>
          <w:rFonts w:asciiTheme="majorBidi" w:hAnsiTheme="majorBidi" w:cstheme="majorBidi"/>
          <w:sz w:val="20"/>
          <w:szCs w:val="20"/>
        </w:rPr>
      </w:pPr>
      <w:r>
        <w:rPr>
          <w:rFonts w:asciiTheme="majorBidi" w:hAnsiTheme="majorBidi" w:cstheme="majorBidi"/>
          <w:sz w:val="28"/>
          <w:szCs w:val="28"/>
        </w:rPr>
        <w:t xml:space="preserve">        </w:t>
      </w:r>
      <w:r w:rsidR="00B157F0" w:rsidRPr="00B157F0">
        <w:rPr>
          <w:rFonts w:asciiTheme="majorBidi" w:hAnsiTheme="majorBidi" w:cstheme="majorBidi"/>
          <w:sz w:val="28"/>
          <w:szCs w:val="28"/>
        </w:rPr>
        <w:t xml:space="preserve"> </w:t>
      </w:r>
      <w:r w:rsidR="00B157F0" w:rsidRPr="00CB4822">
        <w:rPr>
          <w:rFonts w:asciiTheme="majorBidi" w:hAnsiTheme="majorBidi" w:cstheme="majorBidi"/>
          <w:sz w:val="20"/>
          <w:szCs w:val="20"/>
        </w:rPr>
        <w:t>Chronic renal failure</w:t>
      </w:r>
      <w:r w:rsidRPr="00CB4822">
        <w:rPr>
          <w:rFonts w:asciiTheme="majorBidi" w:hAnsiTheme="majorBidi" w:cstheme="majorBidi"/>
          <w:sz w:val="20"/>
          <w:szCs w:val="20"/>
        </w:rPr>
        <w:t xml:space="preserve"> (CRF)</w:t>
      </w:r>
      <w:r w:rsidR="00B157F0" w:rsidRPr="00CB4822">
        <w:rPr>
          <w:rFonts w:asciiTheme="majorBidi" w:hAnsiTheme="majorBidi" w:cstheme="majorBidi"/>
          <w:sz w:val="20"/>
          <w:szCs w:val="20"/>
        </w:rPr>
        <w:t xml:space="preserve">  has become a great problem throughout the world. It is connected to increased morbidity and mortality and also to decreased quality of life in patients compared to the general population</w:t>
      </w:r>
      <w:r w:rsidRPr="00CB4822">
        <w:rPr>
          <w:rFonts w:asciiTheme="majorBidi" w:hAnsiTheme="majorBidi" w:cstheme="majorBidi"/>
          <w:sz w:val="20"/>
          <w:szCs w:val="20"/>
        </w:rPr>
        <w:t>.</w:t>
      </w:r>
      <w:r w:rsidR="00576D58" w:rsidRPr="00CB4822">
        <w:rPr>
          <w:rFonts w:asciiTheme="majorBidi" w:hAnsiTheme="majorBidi" w:cstheme="majorBidi"/>
          <w:sz w:val="20"/>
          <w:szCs w:val="20"/>
        </w:rPr>
        <w:t xml:space="preserve"> </w:t>
      </w:r>
      <w:r w:rsidRPr="00CB4822">
        <w:rPr>
          <w:rFonts w:asciiTheme="majorBidi" w:hAnsiTheme="majorBidi" w:cstheme="majorBidi"/>
          <w:sz w:val="20"/>
          <w:szCs w:val="20"/>
        </w:rPr>
        <w:t>The study was designated to estimate som</w:t>
      </w:r>
      <w:r w:rsidR="00576D58" w:rsidRPr="00CB4822">
        <w:rPr>
          <w:rFonts w:asciiTheme="majorBidi" w:hAnsiTheme="majorBidi" w:cstheme="majorBidi"/>
          <w:sz w:val="20"/>
          <w:szCs w:val="20"/>
        </w:rPr>
        <w:t>e</w:t>
      </w:r>
      <w:r w:rsidRPr="00CB4822">
        <w:rPr>
          <w:rFonts w:asciiTheme="majorBidi" w:hAnsiTheme="majorBidi" w:cstheme="majorBidi"/>
          <w:sz w:val="20"/>
          <w:szCs w:val="20"/>
        </w:rPr>
        <w:t xml:space="preserve"> </w:t>
      </w:r>
      <w:proofErr w:type="spellStart"/>
      <w:r w:rsidRPr="00CB4822">
        <w:rPr>
          <w:rFonts w:asciiTheme="majorBidi" w:hAnsiTheme="majorBidi" w:cstheme="majorBidi"/>
          <w:sz w:val="20"/>
          <w:szCs w:val="20"/>
        </w:rPr>
        <w:t>endocrinological</w:t>
      </w:r>
      <w:proofErr w:type="spellEnd"/>
      <w:r w:rsidRPr="00CB4822">
        <w:rPr>
          <w:rFonts w:asciiTheme="majorBidi" w:hAnsiTheme="majorBidi" w:cstheme="majorBidi"/>
          <w:sz w:val="20"/>
          <w:szCs w:val="20"/>
        </w:rPr>
        <w:t xml:space="preserve"> disorder in CRF patients with continuous hemodialysis.  </w:t>
      </w:r>
      <w:r w:rsidR="00B7483A" w:rsidRPr="00CB4822">
        <w:rPr>
          <w:rFonts w:asciiTheme="majorBidi" w:hAnsiTheme="majorBidi" w:cstheme="majorBidi"/>
          <w:sz w:val="20"/>
          <w:szCs w:val="20"/>
          <w:lang w:bidi="ar-IQ"/>
        </w:rPr>
        <w:t>Sixty patients</w:t>
      </w:r>
      <w:r w:rsidR="00885E84" w:rsidRPr="00CB4822">
        <w:rPr>
          <w:rFonts w:asciiTheme="majorBidi" w:hAnsiTheme="majorBidi" w:cstheme="majorBidi"/>
          <w:sz w:val="20"/>
          <w:szCs w:val="20"/>
          <w:lang w:bidi="ar-IQ"/>
        </w:rPr>
        <w:t xml:space="preserve"> (35 male&amp; 25 female)</w:t>
      </w:r>
      <w:r w:rsidR="00D668B2">
        <w:rPr>
          <w:rFonts w:asciiTheme="majorBidi" w:hAnsiTheme="majorBidi" w:cstheme="majorBidi"/>
          <w:sz w:val="20"/>
          <w:szCs w:val="20"/>
          <w:lang w:bidi="ar-IQ"/>
        </w:rPr>
        <w:t xml:space="preserve"> </w:t>
      </w:r>
      <w:r w:rsidR="00B7483A" w:rsidRPr="00CB4822">
        <w:rPr>
          <w:rFonts w:asciiTheme="majorBidi" w:hAnsiTheme="majorBidi" w:cstheme="majorBidi"/>
          <w:sz w:val="20"/>
          <w:szCs w:val="20"/>
          <w:lang w:bidi="ar-IQ"/>
        </w:rPr>
        <w:t>were studied. Sixty healthy volunteers match  in age and sex were enrolled and accepted as a control group</w:t>
      </w:r>
      <w:r w:rsidR="00576D58" w:rsidRPr="00CB4822">
        <w:rPr>
          <w:rFonts w:asciiTheme="majorBidi" w:hAnsiTheme="majorBidi" w:cstheme="majorBidi"/>
          <w:sz w:val="20"/>
          <w:szCs w:val="20"/>
          <w:lang w:bidi="ar-IQ"/>
        </w:rPr>
        <w:t xml:space="preserve"> ,their range between (20-58 years)</w:t>
      </w:r>
      <w:r w:rsidR="00B7483A" w:rsidRPr="00CB4822">
        <w:rPr>
          <w:rFonts w:asciiTheme="majorBidi" w:hAnsiTheme="majorBidi" w:cstheme="majorBidi"/>
          <w:sz w:val="20"/>
          <w:szCs w:val="20"/>
          <w:lang w:bidi="ar-IQ"/>
        </w:rPr>
        <w:t xml:space="preserve">. All patients and control </w:t>
      </w:r>
      <w:r w:rsidR="001E2AD8" w:rsidRPr="00CB4822">
        <w:rPr>
          <w:rFonts w:asciiTheme="majorBidi" w:hAnsiTheme="majorBidi" w:cstheme="majorBidi"/>
          <w:sz w:val="20"/>
          <w:szCs w:val="20"/>
          <w:lang w:bidi="ar-IQ"/>
        </w:rPr>
        <w:t>underwent hormonal assessme</w:t>
      </w:r>
      <w:r w:rsidR="00CB4822">
        <w:rPr>
          <w:rFonts w:asciiTheme="majorBidi" w:hAnsiTheme="majorBidi" w:cstheme="majorBidi"/>
          <w:sz w:val="20"/>
          <w:szCs w:val="20"/>
          <w:lang w:bidi="ar-IQ"/>
        </w:rPr>
        <w:t xml:space="preserve">nt for </w:t>
      </w:r>
      <w:proofErr w:type="spellStart"/>
      <w:r w:rsidR="00CB4822">
        <w:rPr>
          <w:rFonts w:asciiTheme="majorBidi" w:hAnsiTheme="majorBidi" w:cstheme="majorBidi"/>
          <w:sz w:val="20"/>
          <w:szCs w:val="20"/>
          <w:lang w:bidi="ar-IQ"/>
        </w:rPr>
        <w:t>triiodothyronine</w:t>
      </w:r>
      <w:proofErr w:type="spellEnd"/>
      <w:r w:rsidR="00CB4822">
        <w:rPr>
          <w:rFonts w:asciiTheme="majorBidi" w:hAnsiTheme="majorBidi" w:cstheme="majorBidi"/>
          <w:sz w:val="20"/>
          <w:szCs w:val="20"/>
          <w:lang w:bidi="ar-IQ"/>
        </w:rPr>
        <w:t xml:space="preserve"> hormone</w:t>
      </w:r>
      <w:r w:rsidR="001E2AD8" w:rsidRPr="00CB4822">
        <w:rPr>
          <w:rFonts w:asciiTheme="majorBidi" w:hAnsiTheme="majorBidi" w:cstheme="majorBidi"/>
          <w:sz w:val="20"/>
          <w:szCs w:val="20"/>
          <w:lang w:bidi="ar-IQ"/>
        </w:rPr>
        <w:t>,  thyroxin hormone, thyroid stimula</w:t>
      </w:r>
      <w:r w:rsidR="00D668B2">
        <w:rPr>
          <w:rFonts w:asciiTheme="majorBidi" w:hAnsiTheme="majorBidi" w:cstheme="majorBidi"/>
          <w:sz w:val="20"/>
          <w:szCs w:val="20"/>
          <w:lang w:bidi="ar-IQ"/>
        </w:rPr>
        <w:t>ting hormone, prolactin hormone</w:t>
      </w:r>
      <w:r w:rsidR="001E2AD8" w:rsidRPr="00CB4822">
        <w:rPr>
          <w:rFonts w:asciiTheme="majorBidi" w:hAnsiTheme="majorBidi" w:cstheme="majorBidi"/>
          <w:sz w:val="20"/>
          <w:szCs w:val="20"/>
          <w:lang w:bidi="ar-IQ"/>
        </w:rPr>
        <w:t>, follicle stimulati</w:t>
      </w:r>
      <w:r w:rsidR="00CB4822">
        <w:rPr>
          <w:rFonts w:asciiTheme="majorBidi" w:hAnsiTheme="majorBidi" w:cstheme="majorBidi"/>
          <w:sz w:val="20"/>
          <w:szCs w:val="20"/>
          <w:lang w:bidi="ar-IQ"/>
        </w:rPr>
        <w:t>ng hormone, luteinizing hormone</w:t>
      </w:r>
      <w:r w:rsidR="001E2AD8" w:rsidRPr="00CB4822">
        <w:rPr>
          <w:rFonts w:asciiTheme="majorBidi" w:hAnsiTheme="majorBidi" w:cstheme="majorBidi"/>
          <w:sz w:val="20"/>
          <w:szCs w:val="20"/>
          <w:lang w:bidi="ar-IQ"/>
        </w:rPr>
        <w:t>, estradiol hormone and testosterone hormone</w:t>
      </w:r>
      <w:r w:rsidR="00C77610" w:rsidRPr="00CB4822">
        <w:rPr>
          <w:rFonts w:asciiTheme="majorBidi" w:hAnsiTheme="majorBidi" w:cstheme="majorBidi"/>
          <w:sz w:val="20"/>
          <w:szCs w:val="20"/>
          <w:lang w:bidi="ar-IQ"/>
        </w:rPr>
        <w:t xml:space="preserve"> by </w:t>
      </w:r>
      <w:proofErr w:type="spellStart"/>
      <w:r w:rsidR="00C77610" w:rsidRPr="00CB4822">
        <w:rPr>
          <w:rFonts w:asciiTheme="majorBidi" w:hAnsiTheme="majorBidi" w:cstheme="majorBidi"/>
          <w:sz w:val="20"/>
          <w:szCs w:val="20"/>
          <w:lang w:bidi="ar-IQ"/>
        </w:rPr>
        <w:t>viadas</w:t>
      </w:r>
      <w:proofErr w:type="spellEnd"/>
      <w:r w:rsidR="00C77610" w:rsidRPr="00CB4822">
        <w:rPr>
          <w:rFonts w:asciiTheme="majorBidi" w:hAnsiTheme="majorBidi" w:cstheme="majorBidi"/>
          <w:sz w:val="20"/>
          <w:szCs w:val="20"/>
          <w:lang w:bidi="ar-IQ"/>
        </w:rPr>
        <w:t xml:space="preserve"> technique,</w:t>
      </w:r>
      <w:r w:rsidR="001E2AD8" w:rsidRPr="00CB4822">
        <w:rPr>
          <w:rFonts w:asciiTheme="majorBidi" w:hAnsiTheme="majorBidi" w:cstheme="majorBidi"/>
          <w:sz w:val="20"/>
          <w:szCs w:val="20"/>
          <w:lang w:bidi="ar-IQ"/>
        </w:rPr>
        <w:t xml:space="preserve"> as well as biochemical assessment of blood urea ,serum creatinine, total serum calcium and serum phosphorus. Assessment of  cardiovas</w:t>
      </w:r>
      <w:r w:rsidR="00885E84" w:rsidRPr="00CB4822">
        <w:rPr>
          <w:rFonts w:asciiTheme="majorBidi" w:hAnsiTheme="majorBidi" w:cstheme="majorBidi"/>
          <w:sz w:val="20"/>
          <w:szCs w:val="20"/>
          <w:lang w:bidi="ar-IQ"/>
        </w:rPr>
        <w:t>cular autonomic neuropathy for male only</w:t>
      </w:r>
      <w:r w:rsidRPr="00CB4822">
        <w:rPr>
          <w:rFonts w:asciiTheme="majorBidi" w:hAnsiTheme="majorBidi" w:cstheme="majorBidi"/>
          <w:sz w:val="20"/>
          <w:szCs w:val="20"/>
          <w:lang w:bidi="ar-IQ"/>
        </w:rPr>
        <w:t xml:space="preserve"> with CRF</w:t>
      </w:r>
      <w:r w:rsidR="00576D58" w:rsidRPr="00CB4822">
        <w:rPr>
          <w:rFonts w:asciiTheme="majorBidi" w:hAnsiTheme="majorBidi" w:cstheme="majorBidi"/>
          <w:sz w:val="20"/>
          <w:szCs w:val="20"/>
        </w:rPr>
        <w:t>. The st</w:t>
      </w:r>
      <w:r w:rsidRPr="00CB4822">
        <w:rPr>
          <w:rFonts w:asciiTheme="majorBidi" w:hAnsiTheme="majorBidi" w:cstheme="majorBidi"/>
          <w:sz w:val="20"/>
          <w:szCs w:val="20"/>
        </w:rPr>
        <w:t>udy revealed tha</w:t>
      </w:r>
      <w:r w:rsidR="007D2B17" w:rsidRPr="00CB4822">
        <w:rPr>
          <w:rFonts w:asciiTheme="majorBidi" w:hAnsiTheme="majorBidi" w:cstheme="majorBidi"/>
          <w:sz w:val="20"/>
          <w:szCs w:val="20"/>
        </w:rPr>
        <w:t xml:space="preserve">t </w:t>
      </w:r>
      <w:r w:rsidRPr="00CB4822">
        <w:rPr>
          <w:rFonts w:asciiTheme="majorBidi" w:hAnsiTheme="majorBidi" w:cstheme="majorBidi"/>
          <w:sz w:val="20"/>
          <w:szCs w:val="20"/>
        </w:rPr>
        <w:t>there was  high frequency of hormonal disorder in CRF patients of both sex</w:t>
      </w:r>
      <w:r w:rsidR="007D2B17" w:rsidRPr="00CB4822">
        <w:rPr>
          <w:rFonts w:asciiTheme="majorBidi" w:hAnsiTheme="majorBidi" w:cstheme="majorBidi"/>
          <w:sz w:val="20"/>
          <w:szCs w:val="20"/>
        </w:rPr>
        <w:t xml:space="preserve"> </w:t>
      </w:r>
      <w:r w:rsidRPr="00CB4822">
        <w:rPr>
          <w:rFonts w:asciiTheme="majorBidi" w:hAnsiTheme="majorBidi" w:cstheme="majorBidi"/>
          <w:sz w:val="20"/>
          <w:szCs w:val="20"/>
        </w:rPr>
        <w:t xml:space="preserve"> .Also t</w:t>
      </w:r>
      <w:r w:rsidRPr="00CB4822">
        <w:rPr>
          <w:rFonts w:asciiTheme="majorBidi" w:hAnsiTheme="majorBidi" w:cstheme="majorBidi"/>
          <w:color w:val="010202"/>
          <w:sz w:val="20"/>
          <w:szCs w:val="20"/>
        </w:rPr>
        <w:t>he st</w:t>
      </w:r>
      <w:r w:rsidR="00CB4822">
        <w:rPr>
          <w:rFonts w:asciiTheme="majorBidi" w:hAnsiTheme="majorBidi" w:cstheme="majorBidi"/>
          <w:color w:val="010202"/>
          <w:sz w:val="20"/>
          <w:szCs w:val="20"/>
        </w:rPr>
        <w:t xml:space="preserve">udy revealed high frequency of </w:t>
      </w:r>
      <w:r w:rsidRPr="00CB4822">
        <w:rPr>
          <w:rFonts w:asciiTheme="majorBidi" w:hAnsiTheme="majorBidi" w:cstheme="majorBidi"/>
          <w:color w:val="010202"/>
          <w:sz w:val="20"/>
          <w:szCs w:val="20"/>
        </w:rPr>
        <w:t>cardiovascular autonomic neuropathy in CRF patients, therefore assessment of autonomic nervo</w:t>
      </w:r>
      <w:r w:rsidR="00CB4822">
        <w:rPr>
          <w:rFonts w:asciiTheme="majorBidi" w:hAnsiTheme="majorBidi" w:cstheme="majorBidi"/>
          <w:color w:val="010202"/>
          <w:sz w:val="20"/>
          <w:szCs w:val="20"/>
        </w:rPr>
        <w:t>us system should be considered</w:t>
      </w:r>
      <w:r w:rsidRPr="00CB4822">
        <w:rPr>
          <w:rFonts w:asciiTheme="majorBidi" w:hAnsiTheme="majorBidi" w:cstheme="majorBidi"/>
          <w:color w:val="010202"/>
          <w:sz w:val="20"/>
          <w:szCs w:val="20"/>
        </w:rPr>
        <w:t>.</w:t>
      </w:r>
    </w:p>
    <w:p w:rsidR="00D24F1C" w:rsidRPr="00853480" w:rsidRDefault="006F12A3" w:rsidP="00853480">
      <w:pPr>
        <w:autoSpaceDE w:val="0"/>
        <w:autoSpaceDN w:val="0"/>
        <w:bidi w:val="0"/>
        <w:adjustRightInd w:val="0"/>
        <w:spacing w:after="0" w:line="240" w:lineRule="auto"/>
        <w:jc w:val="center"/>
        <w:rPr>
          <w:rFonts w:ascii="Simplified Arabic" w:hAnsi="Simplified Arabic" w:cs="Simplified Arabic"/>
          <w:b/>
          <w:bCs/>
          <w:sz w:val="28"/>
          <w:szCs w:val="28"/>
          <w:rtl/>
        </w:rPr>
      </w:pPr>
      <w:r w:rsidRPr="00853480">
        <w:rPr>
          <w:rFonts w:ascii="Simplified Arabic" w:hAnsi="Simplified Arabic" w:cs="Simplified Arabic"/>
          <w:b/>
          <w:bCs/>
          <w:sz w:val="28"/>
          <w:szCs w:val="28"/>
          <w:rtl/>
          <w:lang w:bidi="ar-IQ"/>
        </w:rPr>
        <w:t xml:space="preserve">دراسة </w:t>
      </w:r>
      <w:r w:rsidR="00853480" w:rsidRPr="00853480">
        <w:rPr>
          <w:rFonts w:ascii="Simplified Arabic" w:hAnsi="Simplified Arabic" w:cs="Simplified Arabic" w:hint="cs"/>
          <w:b/>
          <w:bCs/>
          <w:sz w:val="28"/>
          <w:szCs w:val="28"/>
          <w:rtl/>
          <w:lang w:bidi="ar-IQ"/>
        </w:rPr>
        <w:t>فس</w:t>
      </w:r>
      <w:r w:rsidR="00853480">
        <w:rPr>
          <w:rFonts w:ascii="Simplified Arabic" w:hAnsi="Simplified Arabic" w:cs="Simplified Arabic" w:hint="cs"/>
          <w:b/>
          <w:bCs/>
          <w:sz w:val="28"/>
          <w:szCs w:val="28"/>
          <w:rtl/>
          <w:lang w:bidi="ar-IQ"/>
        </w:rPr>
        <w:t>يو</w:t>
      </w:r>
      <w:r w:rsidR="00853480" w:rsidRPr="00853480">
        <w:rPr>
          <w:rFonts w:ascii="Simplified Arabic" w:hAnsi="Simplified Arabic" w:cs="Simplified Arabic" w:hint="cs"/>
          <w:b/>
          <w:bCs/>
          <w:sz w:val="28"/>
          <w:szCs w:val="28"/>
          <w:rtl/>
          <w:lang w:bidi="ar-IQ"/>
        </w:rPr>
        <w:t>لوجي</w:t>
      </w:r>
      <w:r w:rsidR="00853480" w:rsidRPr="00853480">
        <w:rPr>
          <w:rFonts w:ascii="Simplified Arabic" w:hAnsi="Simplified Arabic" w:cs="Simplified Arabic" w:hint="eastAsia"/>
          <w:b/>
          <w:bCs/>
          <w:sz w:val="28"/>
          <w:szCs w:val="28"/>
          <w:rtl/>
          <w:lang w:bidi="ar-IQ"/>
        </w:rPr>
        <w:t>ة</w:t>
      </w:r>
      <w:r w:rsidRPr="00853480">
        <w:rPr>
          <w:rFonts w:ascii="Simplified Arabic" w:hAnsi="Simplified Arabic" w:cs="Simplified Arabic"/>
          <w:b/>
          <w:bCs/>
          <w:sz w:val="28"/>
          <w:szCs w:val="28"/>
          <w:rtl/>
          <w:lang w:bidi="ar-IQ"/>
        </w:rPr>
        <w:t xml:space="preserve"> وعصبية لمرض الفشل الكلوي المزمن مع </w:t>
      </w:r>
      <w:proofErr w:type="spellStart"/>
      <w:r w:rsidRPr="00853480">
        <w:rPr>
          <w:rFonts w:ascii="Simplified Arabic" w:hAnsi="Simplified Arabic" w:cs="Simplified Arabic"/>
          <w:b/>
          <w:bCs/>
          <w:sz w:val="28"/>
          <w:szCs w:val="28"/>
          <w:rtl/>
          <w:lang w:bidi="ar-IQ"/>
        </w:rPr>
        <w:t>الديلزه</w:t>
      </w:r>
      <w:proofErr w:type="spellEnd"/>
      <w:r w:rsidRPr="00853480">
        <w:rPr>
          <w:rFonts w:ascii="Simplified Arabic" w:hAnsi="Simplified Arabic" w:cs="Simplified Arabic"/>
          <w:b/>
          <w:bCs/>
          <w:sz w:val="28"/>
          <w:szCs w:val="28"/>
          <w:rtl/>
          <w:lang w:bidi="ar-IQ"/>
        </w:rPr>
        <w:t xml:space="preserve"> الدموية المستمر</w:t>
      </w:r>
    </w:p>
    <w:p w:rsidR="00D24F1C" w:rsidRPr="00853480" w:rsidRDefault="00D24F1C" w:rsidP="00853480">
      <w:pPr>
        <w:spacing w:after="0" w:line="240" w:lineRule="auto"/>
        <w:jc w:val="both"/>
        <w:rPr>
          <w:rFonts w:ascii="Simplified Arabic" w:hAnsi="Simplified Arabic" w:cs="Simplified Arabic"/>
          <w:sz w:val="28"/>
          <w:szCs w:val="28"/>
          <w:u w:val="single"/>
          <w:rtl/>
          <w:lang w:bidi="ar-IQ"/>
        </w:rPr>
      </w:pPr>
      <w:r w:rsidRPr="00853480">
        <w:rPr>
          <w:rFonts w:ascii="Simplified Arabic" w:hAnsi="Simplified Arabic" w:cs="Simplified Arabic"/>
          <w:b/>
          <w:bCs/>
          <w:sz w:val="28"/>
          <w:szCs w:val="28"/>
          <w:u w:val="single"/>
          <w:rtl/>
          <w:lang w:bidi="ar-LB"/>
        </w:rPr>
        <w:t>الخلاصة</w:t>
      </w:r>
    </w:p>
    <w:p w:rsidR="00D24F1C" w:rsidRPr="005D2732" w:rsidRDefault="00D24F1C" w:rsidP="00853480">
      <w:pPr>
        <w:spacing w:after="0" w:line="240" w:lineRule="auto"/>
        <w:jc w:val="both"/>
        <w:rPr>
          <w:rFonts w:ascii="Simplified Arabic" w:hAnsi="Simplified Arabic" w:cs="Simplified Arabic"/>
          <w:sz w:val="20"/>
          <w:szCs w:val="20"/>
          <w:rtl/>
          <w:lang w:bidi="ar-LB"/>
        </w:rPr>
      </w:pPr>
      <w:r w:rsidRPr="00853480">
        <w:rPr>
          <w:rFonts w:ascii="Simplified Arabic" w:hAnsi="Simplified Arabic" w:cs="Simplified Arabic"/>
          <w:sz w:val="28"/>
          <w:szCs w:val="28"/>
          <w:rtl/>
          <w:lang w:bidi="ar-LB"/>
        </w:rPr>
        <w:t xml:space="preserve">    </w:t>
      </w:r>
      <w:r w:rsidRPr="005D2732">
        <w:rPr>
          <w:rFonts w:ascii="Simplified Arabic" w:hAnsi="Simplified Arabic" w:cs="Simplified Arabic"/>
          <w:sz w:val="20"/>
          <w:szCs w:val="20"/>
          <w:rtl/>
          <w:lang w:bidi="ar-LB"/>
        </w:rPr>
        <w:t xml:space="preserve">إن الفشل الكلوي أصبح مشكلة كبيرة في كافة أنحاء العالم، وله علاقة بزيادة المرضية والفناء أيضا، ويؤدي إلى نقصان في نوعية الحياة بالمقارنة مع كافة السكان. الدراسة صممت لتقييم بعض وظائف الغدد في مرضى الفشل الكلوي المزمن مع </w:t>
      </w:r>
      <w:proofErr w:type="spellStart"/>
      <w:r w:rsidRPr="005D2732">
        <w:rPr>
          <w:rFonts w:ascii="Simplified Arabic" w:hAnsi="Simplified Arabic" w:cs="Simplified Arabic"/>
          <w:sz w:val="20"/>
          <w:szCs w:val="20"/>
          <w:rtl/>
          <w:lang w:bidi="ar-LB"/>
        </w:rPr>
        <w:t>الدليزه</w:t>
      </w:r>
      <w:proofErr w:type="spellEnd"/>
      <w:r w:rsidRPr="005D2732">
        <w:rPr>
          <w:rFonts w:ascii="Simplified Arabic" w:hAnsi="Simplified Arabic" w:cs="Simplified Arabic"/>
          <w:sz w:val="20"/>
          <w:szCs w:val="20"/>
          <w:rtl/>
          <w:lang w:bidi="ar-LB"/>
        </w:rPr>
        <w:t xml:space="preserve"> والذين خضعوا لتقييم سريري وكيميائي وحيوي</w:t>
      </w:r>
    </w:p>
    <w:p w:rsidR="00D24F1C" w:rsidRPr="005D2732" w:rsidRDefault="00D24F1C" w:rsidP="00853480">
      <w:pPr>
        <w:spacing w:after="0" w:line="240" w:lineRule="auto"/>
        <w:jc w:val="both"/>
        <w:rPr>
          <w:rFonts w:ascii="Simplified Arabic" w:hAnsi="Simplified Arabic" w:cs="Simplified Arabic"/>
          <w:sz w:val="20"/>
          <w:szCs w:val="20"/>
          <w:rtl/>
          <w:lang w:bidi="ar-LB"/>
        </w:rPr>
      </w:pPr>
      <w:r w:rsidRPr="005D2732">
        <w:rPr>
          <w:rFonts w:ascii="Simplified Arabic" w:hAnsi="Simplified Arabic" w:cs="Simplified Arabic"/>
          <w:sz w:val="20"/>
          <w:szCs w:val="20"/>
          <w:rtl/>
          <w:lang w:bidi="ar-LB"/>
        </w:rPr>
        <w:t xml:space="preserve">العدد الكلي للأشخاص الذين خضعوا للدراسة (120) شخصا منهم (60) مريضا نحو (60) سيطرة مجموعة السيطرة متوافقة مع المرضى من حيث العمر والجنس  علما إن أعمار المرضى تتراوح بين (20-58)سنة. </w:t>
      </w:r>
    </w:p>
    <w:p w:rsidR="00D24F1C" w:rsidRPr="005D2732" w:rsidRDefault="00D24F1C" w:rsidP="00853480">
      <w:pPr>
        <w:spacing w:after="0" w:line="240" w:lineRule="auto"/>
        <w:jc w:val="both"/>
        <w:rPr>
          <w:rFonts w:asciiTheme="majorBidi" w:hAnsiTheme="majorBidi" w:cstheme="majorBidi"/>
          <w:sz w:val="20"/>
          <w:szCs w:val="20"/>
          <w:rtl/>
          <w:lang w:bidi="ar-IQ"/>
        </w:rPr>
      </w:pPr>
      <w:r w:rsidRPr="005D2732">
        <w:rPr>
          <w:rFonts w:ascii="Simplified Arabic" w:hAnsi="Simplified Arabic" w:cs="Simplified Arabic"/>
          <w:sz w:val="20"/>
          <w:szCs w:val="20"/>
          <w:rtl/>
          <w:lang w:bidi="ar-LB"/>
        </w:rPr>
        <w:t xml:space="preserve">تم تقييم كامل للمرضى والمجموعة القياسية والذي تضمن تقييم سريري، تقييم النظام العصبي المستقل (للذكور فقط) ودراسة هرمونية لكل من الغدة الدرقية عن طريق فحص هرمون </w:t>
      </w:r>
      <w:proofErr w:type="spellStart"/>
      <w:r w:rsidRPr="005D2732">
        <w:rPr>
          <w:rFonts w:ascii="Simplified Arabic" w:hAnsi="Simplified Arabic" w:cs="Simplified Arabic"/>
          <w:sz w:val="20"/>
          <w:szCs w:val="20"/>
          <w:rtl/>
          <w:lang w:bidi="ar-LB"/>
        </w:rPr>
        <w:t>تراايودوثايرونين</w:t>
      </w:r>
      <w:proofErr w:type="spellEnd"/>
      <w:r w:rsidRPr="005D2732">
        <w:rPr>
          <w:rFonts w:ascii="Simplified Arabic" w:hAnsi="Simplified Arabic" w:cs="Simplified Arabic"/>
          <w:sz w:val="20"/>
          <w:szCs w:val="20"/>
          <w:rtl/>
          <w:lang w:bidi="ar-LB"/>
        </w:rPr>
        <w:t xml:space="preserve"> وفحص هرمون </w:t>
      </w:r>
      <w:proofErr w:type="spellStart"/>
      <w:r w:rsidRPr="005D2732">
        <w:rPr>
          <w:rFonts w:ascii="Simplified Arabic" w:hAnsi="Simplified Arabic" w:cs="Simplified Arabic"/>
          <w:sz w:val="20"/>
          <w:szCs w:val="20"/>
          <w:rtl/>
          <w:lang w:bidi="ar-LB"/>
        </w:rPr>
        <w:t>الثايروكسين</w:t>
      </w:r>
      <w:proofErr w:type="spellEnd"/>
      <w:r w:rsidRPr="005D2732">
        <w:rPr>
          <w:rFonts w:ascii="Simplified Arabic" w:hAnsi="Simplified Arabic" w:cs="Simplified Arabic"/>
          <w:sz w:val="20"/>
          <w:szCs w:val="20"/>
          <w:rtl/>
          <w:lang w:bidi="ar-LB"/>
        </w:rPr>
        <w:t xml:space="preserve"> وفحص الهرمون المحفز للغدة الدرقية بينما اختلال الوظائف التناسلية ثم تقييمه عن طريق هرمون الحلي ، الهرمون المحفز للحوصلات المبيض  والهرمون المحفز للجسم الأصفر وهرمون الاستروجين والهرمون الذكري. استنتجت الدراسة إن هناك نسبة عالية من اضطراب الهرمونات عند المصابين بالفشل الكلوي المزمن</w:t>
      </w:r>
      <w:r w:rsidRPr="005D2732">
        <w:rPr>
          <w:rFonts w:ascii="Simplified Arabic" w:hAnsi="Simplified Arabic" w:cs="Simplified Arabic"/>
          <w:sz w:val="20"/>
          <w:szCs w:val="20"/>
          <w:rtl/>
          <w:lang w:bidi="ar-IQ"/>
        </w:rPr>
        <w:t xml:space="preserve"> وكذلك الدراسة كشفت إن هناك </w:t>
      </w:r>
      <w:r w:rsidRPr="005D2732">
        <w:rPr>
          <w:rFonts w:ascii="Simplified Arabic" w:hAnsi="Simplified Arabic" w:cs="Simplified Arabic"/>
          <w:sz w:val="20"/>
          <w:szCs w:val="20"/>
          <w:rtl/>
          <w:lang w:bidi="ar-LB"/>
        </w:rPr>
        <w:t>نسبة عالية</w:t>
      </w:r>
      <w:r w:rsidRPr="005D2732">
        <w:rPr>
          <w:rFonts w:ascii="Simplified Arabic" w:hAnsi="Simplified Arabic" w:cs="Simplified Arabic"/>
          <w:sz w:val="20"/>
          <w:szCs w:val="20"/>
          <w:rtl/>
          <w:lang w:bidi="ar-IQ"/>
        </w:rPr>
        <w:t xml:space="preserve"> </w:t>
      </w:r>
      <w:r w:rsidRPr="005D2732">
        <w:rPr>
          <w:rFonts w:ascii="Simplified Arabic" w:hAnsi="Simplified Arabic" w:cs="Simplified Arabic"/>
          <w:sz w:val="20"/>
          <w:szCs w:val="20"/>
          <w:rtl/>
          <w:lang w:bidi="ar-LB"/>
        </w:rPr>
        <w:t>من اختلال عصبي مستقل عند المصابين بالفشل الكلوي المزمن لهذا  فحص</w:t>
      </w:r>
      <w:r w:rsidRPr="005D2732">
        <w:rPr>
          <w:rFonts w:ascii="Simplified Arabic" w:hAnsi="Simplified Arabic" w:cs="Simplified Arabic"/>
          <w:sz w:val="20"/>
          <w:szCs w:val="20"/>
          <w:rtl/>
          <w:lang w:bidi="ar-IQ"/>
        </w:rPr>
        <w:t xml:space="preserve"> وتقييم الج</w:t>
      </w:r>
      <w:r w:rsidR="00853480" w:rsidRPr="005D2732">
        <w:rPr>
          <w:rFonts w:ascii="Simplified Arabic" w:hAnsi="Simplified Arabic" w:cs="Simplified Arabic"/>
          <w:sz w:val="20"/>
          <w:szCs w:val="20"/>
          <w:rtl/>
          <w:lang w:bidi="ar-IQ"/>
        </w:rPr>
        <w:t>هاز العصبي المستقل يجب أن يعتمد</w:t>
      </w:r>
      <w:r w:rsidRPr="005D2732">
        <w:rPr>
          <w:rFonts w:ascii="Simplified Arabic" w:hAnsi="Simplified Arabic" w:cs="Simplified Arabic"/>
          <w:sz w:val="20"/>
          <w:szCs w:val="20"/>
          <w:rtl/>
          <w:lang w:bidi="ar-IQ"/>
        </w:rPr>
        <w:t>.</w:t>
      </w:r>
    </w:p>
    <w:p w:rsidR="00853480" w:rsidRPr="005D2732" w:rsidRDefault="00853480" w:rsidP="00853480">
      <w:pPr>
        <w:spacing w:after="0" w:line="240" w:lineRule="auto"/>
        <w:jc w:val="both"/>
        <w:rPr>
          <w:rFonts w:ascii="Simplified Arabic" w:hAnsi="Simplified Arabic" w:cs="Simplified Arabic"/>
          <w:sz w:val="20"/>
          <w:szCs w:val="20"/>
          <w:rtl/>
          <w:lang w:bidi="ar-IQ"/>
        </w:rPr>
      </w:pPr>
      <w:r w:rsidRPr="005D2732">
        <w:rPr>
          <w:rFonts w:ascii="Simplified Arabic" w:hAnsi="Simplified Arabic" w:cs="Simplified Arabic"/>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5D2732" w:rsidRPr="005D2732">
        <w:rPr>
          <w:rFonts w:ascii="Simplified Arabic" w:hAnsi="Simplified Arabic" w:cs="Simplified Arabic"/>
          <w:sz w:val="20"/>
          <w:szCs w:val="20"/>
          <w:rtl/>
          <w:lang w:bidi="ar-IQ"/>
        </w:rPr>
        <w:t>ـــــــــــــــــــــــــــــــــــــــــــــــــــــــــــــــــــــــــــــــــــــــــــــــ</w:t>
      </w:r>
    </w:p>
    <w:p w:rsidR="00004F5B" w:rsidRDefault="00004F5B" w:rsidP="00AA26A3">
      <w:pPr>
        <w:spacing w:after="0"/>
        <w:jc w:val="right"/>
        <w:rPr>
          <w:rFonts w:asciiTheme="majorBidi" w:hAnsiTheme="majorBidi" w:cstheme="majorBidi"/>
          <w:b/>
          <w:bCs/>
          <w:sz w:val="28"/>
          <w:szCs w:val="28"/>
          <w:u w:val="single"/>
        </w:rPr>
      </w:pPr>
    </w:p>
    <w:p w:rsidR="00004F5B" w:rsidRDefault="00004F5B" w:rsidP="00AA26A3">
      <w:pPr>
        <w:spacing w:after="0"/>
        <w:jc w:val="right"/>
        <w:rPr>
          <w:rFonts w:asciiTheme="majorBidi" w:hAnsiTheme="majorBidi" w:cstheme="majorBidi"/>
          <w:b/>
          <w:bCs/>
          <w:sz w:val="28"/>
          <w:szCs w:val="28"/>
          <w:u w:val="single"/>
        </w:rPr>
      </w:pPr>
    </w:p>
    <w:p w:rsidR="00D668B2" w:rsidRDefault="00D668B2" w:rsidP="00AA26A3">
      <w:pPr>
        <w:spacing w:after="0"/>
        <w:jc w:val="right"/>
        <w:rPr>
          <w:rFonts w:asciiTheme="majorBidi" w:hAnsiTheme="majorBidi" w:cstheme="majorBidi"/>
          <w:b/>
          <w:bCs/>
          <w:sz w:val="28"/>
          <w:szCs w:val="28"/>
          <w:u w:val="single"/>
        </w:rPr>
        <w:sectPr w:rsidR="00D668B2" w:rsidSect="00004F5B">
          <w:headerReference w:type="default" r:id="rId9"/>
          <w:footerReference w:type="default" r:id="rId10"/>
          <w:pgSz w:w="11906" w:h="16838"/>
          <w:pgMar w:top="1440" w:right="1800" w:bottom="1440" w:left="1800" w:header="708" w:footer="708" w:gutter="0"/>
          <w:pgNumType w:start="37"/>
          <w:cols w:space="708"/>
          <w:docGrid w:linePitch="360"/>
        </w:sectPr>
      </w:pPr>
    </w:p>
    <w:p w:rsidR="00AD2C63" w:rsidRPr="00BE10F7" w:rsidRDefault="00AD2C63" w:rsidP="006E2FD3">
      <w:pPr>
        <w:spacing w:after="0" w:line="240" w:lineRule="auto"/>
        <w:jc w:val="right"/>
        <w:rPr>
          <w:rFonts w:asciiTheme="majorBidi" w:hAnsiTheme="majorBidi" w:cstheme="majorBidi"/>
          <w:b/>
          <w:bCs/>
          <w:sz w:val="28"/>
          <w:szCs w:val="28"/>
          <w:u w:val="single"/>
        </w:rPr>
      </w:pPr>
      <w:r w:rsidRPr="00BE10F7">
        <w:rPr>
          <w:rFonts w:asciiTheme="majorBidi" w:hAnsiTheme="majorBidi" w:cstheme="majorBidi"/>
          <w:b/>
          <w:bCs/>
          <w:sz w:val="28"/>
          <w:szCs w:val="28"/>
          <w:u w:val="single"/>
        </w:rPr>
        <w:lastRenderedPageBreak/>
        <w:t>Introduction</w:t>
      </w:r>
    </w:p>
    <w:p w:rsidR="006E2FD3" w:rsidRPr="006E2FD3" w:rsidRDefault="006E2FD3" w:rsidP="006E2FD3">
      <w:pPr>
        <w:keepNext/>
        <w:framePr w:dropCap="drop" w:lines="3" w:wrap="around" w:vAnchor="text" w:hAnchor="text"/>
        <w:bidi w:val="0"/>
        <w:spacing w:after="0" w:line="827" w:lineRule="exact"/>
        <w:jc w:val="both"/>
        <w:textAlignment w:val="baseline"/>
        <w:rPr>
          <w:rFonts w:asciiTheme="majorBidi" w:hAnsiTheme="majorBidi" w:cstheme="majorBidi"/>
          <w:position w:val="-10"/>
          <w:sz w:val="107"/>
          <w:szCs w:val="107"/>
        </w:rPr>
      </w:pPr>
      <w:r w:rsidRPr="006E2FD3">
        <w:rPr>
          <w:rFonts w:asciiTheme="majorBidi" w:hAnsiTheme="majorBidi" w:cstheme="majorBidi"/>
          <w:position w:val="-10"/>
          <w:sz w:val="107"/>
          <w:szCs w:val="107"/>
        </w:rPr>
        <w:t>C</w:t>
      </w:r>
    </w:p>
    <w:p w:rsidR="0086593D" w:rsidRPr="00BE10F7" w:rsidRDefault="00AD2C63" w:rsidP="006E2FD3">
      <w:pPr>
        <w:autoSpaceDE w:val="0"/>
        <w:autoSpaceDN w:val="0"/>
        <w:bidi w:val="0"/>
        <w:adjustRightInd w:val="0"/>
        <w:spacing w:after="0" w:line="240" w:lineRule="auto"/>
        <w:jc w:val="both"/>
        <w:rPr>
          <w:rFonts w:asciiTheme="majorBidi" w:hAnsiTheme="majorBidi" w:cstheme="majorBidi"/>
          <w:sz w:val="28"/>
          <w:szCs w:val="28"/>
        </w:rPr>
      </w:pPr>
      <w:r w:rsidRPr="00BA2F10">
        <w:rPr>
          <w:rFonts w:asciiTheme="majorBidi" w:hAnsiTheme="majorBidi" w:cstheme="majorBidi"/>
          <w:sz w:val="24"/>
          <w:szCs w:val="24"/>
        </w:rPr>
        <w:t xml:space="preserve">hronic kidney disease is </w:t>
      </w:r>
      <w:r w:rsidRPr="00BA2F10">
        <w:rPr>
          <w:rFonts w:asciiTheme="majorBidi" w:eastAsia="Times New Roman" w:hAnsiTheme="majorBidi" w:cstheme="majorBidi"/>
          <w:sz w:val="24"/>
          <w:szCs w:val="24"/>
        </w:rPr>
        <w:t>considered a major global public health problem</w:t>
      </w:r>
      <w:r w:rsidR="00831109">
        <w:rPr>
          <w:rFonts w:asciiTheme="majorBidi" w:hAnsiTheme="majorBidi" w:cstheme="majorBidi"/>
          <w:sz w:val="24"/>
          <w:szCs w:val="24"/>
        </w:rPr>
        <w:t>[20]</w:t>
      </w:r>
      <w:r w:rsidRPr="00BA2F10">
        <w:rPr>
          <w:rFonts w:asciiTheme="majorBidi" w:hAnsiTheme="majorBidi" w:cstheme="majorBidi"/>
          <w:sz w:val="24"/>
          <w:szCs w:val="24"/>
        </w:rPr>
        <w:t xml:space="preserve"> and it can be  defined as a reduced excretory kidney function (GFR≤ 60mL/min/1.73</w:t>
      </w:r>
      <m:oMath>
        <m:sSup>
          <m:sSupPr>
            <m:ctrlPr>
              <w:rPr>
                <w:rFonts w:ascii="Cambria Math" w:hAnsi="Cambria Math" w:cstheme="majorBidi"/>
                <w:i/>
                <w:sz w:val="24"/>
                <w:szCs w:val="24"/>
              </w:rPr>
            </m:ctrlPr>
          </m:sSupPr>
          <m:e>
            <m:r>
              <w:rPr>
                <w:rFonts w:ascii="Cambria Math" w:hAnsi="Cambria Math" w:cstheme="majorBidi"/>
                <w:sz w:val="24"/>
                <w:szCs w:val="24"/>
              </w:rPr>
              <m:t>m</m:t>
            </m:r>
          </m:e>
          <m:sup>
            <m:r>
              <w:rPr>
                <w:rFonts w:ascii="Cambria Math" w:hAnsi="Cambria Math" w:cstheme="majorBidi"/>
                <w:sz w:val="24"/>
                <w:szCs w:val="24"/>
              </w:rPr>
              <m:t>2</m:t>
            </m:r>
          </m:sup>
        </m:sSup>
      </m:oMath>
      <w:r w:rsidRPr="00BA2F10">
        <w:rPr>
          <w:rFonts w:asciiTheme="majorBidi" w:hAnsiTheme="majorBidi" w:cstheme="majorBidi"/>
          <w:sz w:val="24"/>
          <w:szCs w:val="24"/>
        </w:rPr>
        <w:t>) or evidence of kid</w:t>
      </w:r>
      <w:r w:rsidR="00243520">
        <w:rPr>
          <w:rFonts w:asciiTheme="majorBidi" w:hAnsiTheme="majorBidi" w:cstheme="majorBidi"/>
          <w:sz w:val="24"/>
          <w:szCs w:val="24"/>
        </w:rPr>
        <w:t xml:space="preserve">ney damage </w:t>
      </w:r>
      <w:r w:rsidRPr="00BA2F10">
        <w:rPr>
          <w:rFonts w:asciiTheme="majorBidi" w:hAnsiTheme="majorBidi" w:cstheme="majorBidi"/>
          <w:sz w:val="24"/>
          <w:szCs w:val="24"/>
        </w:rPr>
        <w:t xml:space="preserve">for a period of at least 3 months </w:t>
      </w:r>
      <w:r w:rsidR="001D035E">
        <w:rPr>
          <w:rFonts w:asciiTheme="majorBidi" w:hAnsiTheme="majorBidi" w:cstheme="majorBidi"/>
          <w:sz w:val="24"/>
          <w:szCs w:val="24"/>
        </w:rPr>
        <w:t>[</w:t>
      </w:r>
      <w:r w:rsidR="00831109">
        <w:rPr>
          <w:rFonts w:asciiTheme="majorBidi" w:hAnsiTheme="majorBidi" w:cstheme="majorBidi"/>
          <w:sz w:val="24"/>
          <w:szCs w:val="24"/>
        </w:rPr>
        <w:t>10</w:t>
      </w:r>
      <w:r w:rsidR="001D035E">
        <w:rPr>
          <w:rFonts w:asciiTheme="majorBidi" w:hAnsiTheme="majorBidi" w:cstheme="majorBidi"/>
          <w:sz w:val="24"/>
          <w:szCs w:val="24"/>
        </w:rPr>
        <w:t>,18</w:t>
      </w:r>
      <w:r w:rsidR="00831109">
        <w:rPr>
          <w:rFonts w:asciiTheme="majorBidi" w:hAnsiTheme="majorBidi" w:cstheme="majorBidi"/>
          <w:sz w:val="24"/>
          <w:szCs w:val="24"/>
        </w:rPr>
        <w:t>]</w:t>
      </w:r>
      <w:r w:rsidRPr="00BA2F10">
        <w:rPr>
          <w:rFonts w:asciiTheme="majorBidi" w:hAnsiTheme="majorBidi" w:cstheme="majorBidi"/>
          <w:sz w:val="24"/>
          <w:szCs w:val="24"/>
        </w:rPr>
        <w:t>.</w:t>
      </w:r>
      <w:r w:rsidR="007D2B17">
        <w:rPr>
          <w:rFonts w:asciiTheme="majorBidi" w:hAnsiTheme="majorBidi" w:cstheme="majorBidi"/>
          <w:sz w:val="24"/>
          <w:szCs w:val="24"/>
        </w:rPr>
        <w:t xml:space="preserve"> </w:t>
      </w:r>
      <w:r w:rsidR="00BA2F10" w:rsidRPr="00BA2F10">
        <w:rPr>
          <w:rFonts w:asciiTheme="majorBidi" w:hAnsiTheme="majorBidi" w:cstheme="majorBidi"/>
          <w:sz w:val="28"/>
          <w:szCs w:val="28"/>
        </w:rPr>
        <w:t xml:space="preserve"> </w:t>
      </w:r>
      <w:r w:rsidR="00243520">
        <w:rPr>
          <w:rFonts w:asciiTheme="majorBidi" w:hAnsiTheme="majorBidi" w:cstheme="majorBidi"/>
          <w:sz w:val="24"/>
          <w:szCs w:val="24"/>
        </w:rPr>
        <w:t>End stage renal disease(</w:t>
      </w:r>
      <w:r w:rsidR="00BA2F10" w:rsidRPr="00BA2F10">
        <w:rPr>
          <w:rFonts w:asciiTheme="majorBidi" w:hAnsiTheme="majorBidi" w:cstheme="majorBidi"/>
          <w:sz w:val="24"/>
          <w:szCs w:val="24"/>
        </w:rPr>
        <w:t>Stage 5 Chronic Kidney disease) can be defined as a failure requiri</w:t>
      </w:r>
      <w:r w:rsidR="00277C14">
        <w:rPr>
          <w:rFonts w:asciiTheme="majorBidi" w:hAnsiTheme="majorBidi" w:cstheme="majorBidi"/>
          <w:sz w:val="24"/>
          <w:szCs w:val="24"/>
        </w:rPr>
        <w:t>ng dialysis or transplantation</w:t>
      </w:r>
      <w:r w:rsidR="00831109">
        <w:rPr>
          <w:rFonts w:asciiTheme="majorBidi" w:hAnsiTheme="majorBidi" w:cstheme="majorBidi"/>
          <w:sz w:val="24"/>
          <w:szCs w:val="24"/>
        </w:rPr>
        <w:t>[5]</w:t>
      </w:r>
      <w:r w:rsidR="00BA2F10" w:rsidRPr="00BA2F10">
        <w:rPr>
          <w:rFonts w:asciiTheme="majorBidi" w:hAnsiTheme="majorBidi" w:cstheme="majorBidi"/>
          <w:sz w:val="24"/>
          <w:szCs w:val="24"/>
        </w:rPr>
        <w:t>.In pat</w:t>
      </w:r>
      <w:r w:rsidR="00243520">
        <w:rPr>
          <w:rFonts w:asciiTheme="majorBidi" w:hAnsiTheme="majorBidi" w:cstheme="majorBidi"/>
          <w:sz w:val="24"/>
          <w:szCs w:val="24"/>
        </w:rPr>
        <w:t>ients with CRF</w:t>
      </w:r>
      <w:r w:rsidR="00BA2F10" w:rsidRPr="00BA2F10">
        <w:rPr>
          <w:rFonts w:asciiTheme="majorBidi" w:hAnsiTheme="majorBidi" w:cstheme="majorBidi"/>
          <w:sz w:val="24"/>
          <w:szCs w:val="24"/>
        </w:rPr>
        <w:t xml:space="preserve"> different mechanisms lead to an alteration of endocrine responses </w:t>
      </w:r>
      <w:r w:rsidR="00BA2F10">
        <w:rPr>
          <w:rFonts w:asciiTheme="majorBidi" w:hAnsiTheme="majorBidi" w:cstheme="majorBidi"/>
          <w:sz w:val="24"/>
          <w:szCs w:val="24"/>
        </w:rPr>
        <w:t>include</w:t>
      </w:r>
      <w:r w:rsidR="00BA2F10" w:rsidRPr="00BA2F10">
        <w:rPr>
          <w:rFonts w:asciiTheme="majorBidi" w:hAnsiTheme="majorBidi" w:cstheme="majorBidi"/>
          <w:sz w:val="28"/>
          <w:szCs w:val="28"/>
        </w:rPr>
        <w:t xml:space="preserve"> </w:t>
      </w:r>
      <w:r w:rsidR="00BE10F7">
        <w:rPr>
          <w:rFonts w:asciiTheme="majorBidi" w:hAnsiTheme="majorBidi" w:cstheme="majorBidi"/>
          <w:sz w:val="24"/>
          <w:szCs w:val="24"/>
        </w:rPr>
        <w:t>s</w:t>
      </w:r>
      <w:r w:rsidR="00BA2F10" w:rsidRPr="00BA2F10">
        <w:rPr>
          <w:rFonts w:asciiTheme="majorBidi" w:hAnsiTheme="majorBidi" w:cstheme="majorBidi"/>
          <w:sz w:val="24"/>
          <w:szCs w:val="24"/>
        </w:rPr>
        <w:t>ecretion of hormones and the function of their receptors may be altered by uremic toxicity which can  promote an increased release of hormones such as parat</w:t>
      </w:r>
      <w:r w:rsidR="00BE10F7">
        <w:rPr>
          <w:rFonts w:asciiTheme="majorBidi" w:hAnsiTheme="majorBidi" w:cstheme="majorBidi"/>
          <w:sz w:val="24"/>
          <w:szCs w:val="24"/>
        </w:rPr>
        <w:t>hyroid hormone</w:t>
      </w:r>
      <w:r w:rsidR="00D668B2">
        <w:rPr>
          <w:rFonts w:asciiTheme="majorBidi" w:hAnsiTheme="majorBidi" w:cstheme="majorBidi"/>
          <w:sz w:val="24"/>
          <w:szCs w:val="24"/>
        </w:rPr>
        <w:t xml:space="preserve"> </w:t>
      </w:r>
      <w:r w:rsidR="00831109">
        <w:rPr>
          <w:rFonts w:asciiTheme="majorBidi" w:hAnsiTheme="majorBidi" w:cstheme="majorBidi"/>
          <w:sz w:val="24"/>
          <w:szCs w:val="24"/>
        </w:rPr>
        <w:t>[6]</w:t>
      </w:r>
      <w:r w:rsidR="00BA2F10" w:rsidRPr="00BA2F10">
        <w:rPr>
          <w:rFonts w:asciiTheme="majorBidi" w:hAnsiTheme="majorBidi" w:cstheme="majorBidi"/>
          <w:sz w:val="24"/>
          <w:szCs w:val="24"/>
        </w:rPr>
        <w:t>. The conversion of hormones into their active form may be disturbed as this could be demonstrated for the peripheral conversion of L</w:t>
      </w:r>
      <w:r w:rsidR="00243520">
        <w:rPr>
          <w:rFonts w:asciiTheme="majorBidi" w:hAnsiTheme="majorBidi" w:cstheme="majorBidi"/>
          <w:sz w:val="24"/>
          <w:szCs w:val="24"/>
        </w:rPr>
        <w:t>-Thyroxin T4 to</w:t>
      </w:r>
      <w:r w:rsidR="00BA2F10" w:rsidRPr="00BA2F10">
        <w:rPr>
          <w:rFonts w:asciiTheme="majorBidi" w:hAnsiTheme="majorBidi" w:cstheme="majorBidi"/>
          <w:sz w:val="24"/>
          <w:szCs w:val="24"/>
        </w:rPr>
        <w:t xml:space="preserve"> T3 </w:t>
      </w:r>
      <w:r w:rsidR="00831109">
        <w:rPr>
          <w:rFonts w:asciiTheme="majorBidi" w:hAnsiTheme="majorBidi" w:cstheme="majorBidi"/>
          <w:sz w:val="24"/>
          <w:szCs w:val="24"/>
        </w:rPr>
        <w:t>[31]</w:t>
      </w:r>
      <w:r w:rsidR="00BA2F10" w:rsidRPr="00BA2F10">
        <w:rPr>
          <w:rFonts w:asciiTheme="majorBidi" w:hAnsiTheme="majorBidi" w:cstheme="majorBidi"/>
          <w:sz w:val="24"/>
          <w:szCs w:val="24"/>
        </w:rPr>
        <w:t>.</w:t>
      </w:r>
      <w:r w:rsidR="00D668B2">
        <w:rPr>
          <w:rFonts w:asciiTheme="majorBidi" w:hAnsiTheme="majorBidi" w:cstheme="majorBidi"/>
          <w:sz w:val="24"/>
          <w:szCs w:val="24"/>
        </w:rPr>
        <w:t xml:space="preserve"> </w:t>
      </w:r>
      <w:r w:rsidR="00BA2F10" w:rsidRPr="00BA2F10">
        <w:rPr>
          <w:rFonts w:asciiTheme="majorBidi" w:hAnsiTheme="majorBidi" w:cstheme="majorBidi"/>
          <w:sz w:val="24"/>
          <w:szCs w:val="24"/>
        </w:rPr>
        <w:t>Decreased renal production of hormones or essential regulators of hormones may occur in patients with chronic renal failure due to a reduction in functional ren</w:t>
      </w:r>
      <w:r w:rsidR="00831109">
        <w:rPr>
          <w:rFonts w:asciiTheme="majorBidi" w:hAnsiTheme="majorBidi" w:cstheme="majorBidi"/>
          <w:sz w:val="24"/>
          <w:szCs w:val="24"/>
        </w:rPr>
        <w:t>al mass [7]</w:t>
      </w:r>
      <w:r w:rsidR="00BA2F10" w:rsidRPr="00BA2F10">
        <w:rPr>
          <w:rFonts w:asciiTheme="majorBidi" w:hAnsiTheme="majorBidi" w:cstheme="majorBidi"/>
          <w:sz w:val="24"/>
          <w:szCs w:val="24"/>
        </w:rPr>
        <w:t>.</w:t>
      </w:r>
      <w:r w:rsidR="00BA2F10" w:rsidRPr="00BA2F10">
        <w:rPr>
          <w:rFonts w:asciiTheme="majorBidi" w:hAnsiTheme="majorBidi" w:cstheme="majorBidi"/>
          <w:i/>
          <w:iCs/>
          <w:sz w:val="24"/>
          <w:szCs w:val="24"/>
        </w:rPr>
        <w:t xml:space="preserve"> </w:t>
      </w:r>
      <w:r w:rsidR="0086593D" w:rsidRPr="00A46644">
        <w:rPr>
          <w:rFonts w:asciiTheme="majorBidi" w:hAnsiTheme="majorBidi" w:cstheme="majorBidi"/>
          <w:sz w:val="28"/>
          <w:szCs w:val="28"/>
        </w:rPr>
        <w:t xml:space="preserve">     </w:t>
      </w:r>
    </w:p>
    <w:p w:rsidR="0086593D" w:rsidRDefault="0086593D" w:rsidP="006E2FD3">
      <w:pPr>
        <w:autoSpaceDE w:val="0"/>
        <w:autoSpaceDN w:val="0"/>
        <w:bidi w:val="0"/>
        <w:adjustRightInd w:val="0"/>
        <w:spacing w:after="0" w:line="240" w:lineRule="auto"/>
        <w:jc w:val="both"/>
        <w:rPr>
          <w:rFonts w:asciiTheme="majorBidi" w:hAnsiTheme="majorBidi" w:cstheme="majorBidi"/>
          <w:sz w:val="24"/>
          <w:szCs w:val="24"/>
        </w:rPr>
      </w:pPr>
      <w:r w:rsidRPr="0086593D">
        <w:rPr>
          <w:rFonts w:asciiTheme="majorBidi" w:eastAsia="Times New Roman" w:hAnsiTheme="majorBidi" w:cstheme="majorBidi"/>
          <w:sz w:val="24"/>
          <w:szCs w:val="24"/>
        </w:rPr>
        <w:t xml:space="preserve">      Patients on  HD due to CRF</w:t>
      </w:r>
      <w:r w:rsidRPr="0086593D">
        <w:rPr>
          <w:rFonts w:asciiTheme="majorBidi" w:hAnsiTheme="majorBidi" w:cstheme="majorBidi"/>
          <w:sz w:val="24"/>
          <w:szCs w:val="24"/>
        </w:rPr>
        <w:t xml:space="preserve">, there is a tendency towards a decrease (but generally still within the reference range) of T4 concentration, and low T3and rT3 concentrations </w:t>
      </w:r>
      <w:r w:rsidR="001D035E">
        <w:rPr>
          <w:rFonts w:asciiTheme="majorBidi" w:hAnsiTheme="majorBidi" w:cstheme="majorBidi"/>
          <w:sz w:val="24"/>
          <w:szCs w:val="24"/>
        </w:rPr>
        <w:t>[3,22]</w:t>
      </w:r>
      <w:r w:rsidRPr="0086593D">
        <w:rPr>
          <w:rFonts w:asciiTheme="majorBidi" w:eastAsia="Times New Roman" w:hAnsiTheme="majorBidi" w:cstheme="majorBidi"/>
          <w:sz w:val="24"/>
          <w:szCs w:val="24"/>
        </w:rPr>
        <w:t>.</w:t>
      </w:r>
      <w:r>
        <w:rPr>
          <w:rFonts w:asciiTheme="majorBidi" w:hAnsiTheme="majorBidi" w:cstheme="majorBidi"/>
          <w:sz w:val="24"/>
          <w:szCs w:val="24"/>
        </w:rPr>
        <w:t xml:space="preserve">  </w:t>
      </w:r>
      <w:r w:rsidRPr="0086593D">
        <w:rPr>
          <w:rFonts w:asciiTheme="majorBidi" w:hAnsiTheme="majorBidi" w:cstheme="majorBidi"/>
          <w:sz w:val="24"/>
          <w:szCs w:val="24"/>
        </w:rPr>
        <w:t xml:space="preserve">Sexual dysfunction and infertility are a common feature in CRF patients, and the occurrence of sexual dysfunction is about 50% to 70% in both male and female patients during dialysis and  usually associated with pituitary-gonadal hormone disturbance, which does not reverse with renal replacement therapy </w:t>
      </w:r>
      <w:r w:rsidR="001D035E">
        <w:rPr>
          <w:rFonts w:asciiTheme="majorBidi" w:hAnsiTheme="majorBidi" w:cstheme="majorBidi"/>
          <w:sz w:val="24"/>
          <w:szCs w:val="24"/>
        </w:rPr>
        <w:t>[23]</w:t>
      </w:r>
      <w:r w:rsidRPr="0086593D">
        <w:rPr>
          <w:rFonts w:asciiTheme="majorBidi" w:hAnsiTheme="majorBidi" w:cstheme="majorBidi"/>
          <w:sz w:val="24"/>
          <w:szCs w:val="24"/>
        </w:rPr>
        <w:t>.</w:t>
      </w:r>
      <w:r w:rsidRPr="0086593D">
        <w:rPr>
          <w:rFonts w:asciiTheme="majorBidi" w:eastAsia="Times New Roman" w:hAnsiTheme="majorBidi" w:cstheme="majorBidi"/>
          <w:sz w:val="24"/>
          <w:szCs w:val="24"/>
        </w:rPr>
        <w:t xml:space="preserve"> </w:t>
      </w:r>
      <w:r w:rsidRPr="0086593D">
        <w:rPr>
          <w:rFonts w:asciiTheme="majorBidi" w:hAnsiTheme="majorBidi" w:cstheme="majorBidi"/>
          <w:sz w:val="24"/>
          <w:szCs w:val="24"/>
        </w:rPr>
        <w:t>The genesis of sexual dysfunction</w:t>
      </w:r>
      <w:r w:rsidR="009038DA">
        <w:rPr>
          <w:rFonts w:asciiTheme="majorBidi" w:hAnsiTheme="majorBidi" w:cstheme="majorBidi"/>
          <w:sz w:val="24"/>
          <w:szCs w:val="24"/>
        </w:rPr>
        <w:t xml:space="preserve"> in male</w:t>
      </w:r>
      <w:r w:rsidRPr="0086593D">
        <w:rPr>
          <w:rFonts w:asciiTheme="majorBidi" w:hAnsiTheme="majorBidi" w:cstheme="majorBidi"/>
          <w:sz w:val="24"/>
          <w:szCs w:val="24"/>
        </w:rPr>
        <w:t xml:space="preserve"> is multifactorial  include hormonal distur</w:t>
      </w:r>
      <w:r w:rsidR="004963F4">
        <w:rPr>
          <w:rFonts w:asciiTheme="majorBidi" w:hAnsiTheme="majorBidi" w:cstheme="majorBidi"/>
          <w:sz w:val="24"/>
          <w:szCs w:val="24"/>
        </w:rPr>
        <w:t>bances,</w:t>
      </w:r>
      <w:r>
        <w:rPr>
          <w:rFonts w:asciiTheme="majorBidi" w:hAnsiTheme="majorBidi" w:cstheme="majorBidi"/>
          <w:sz w:val="24"/>
          <w:szCs w:val="24"/>
        </w:rPr>
        <w:t xml:space="preserve"> </w:t>
      </w:r>
      <w:r w:rsidR="004963F4">
        <w:rPr>
          <w:rFonts w:asciiTheme="majorBidi" w:hAnsiTheme="majorBidi" w:cstheme="majorBidi"/>
          <w:sz w:val="24"/>
          <w:szCs w:val="24"/>
        </w:rPr>
        <w:t>a</w:t>
      </w:r>
      <w:r w:rsidR="00D668B2">
        <w:rPr>
          <w:rFonts w:asciiTheme="majorBidi" w:hAnsiTheme="majorBidi" w:cstheme="majorBidi"/>
          <w:sz w:val="24"/>
          <w:szCs w:val="24"/>
        </w:rPr>
        <w:t>utonomic neuropathy, psychosocial factors</w:t>
      </w:r>
      <w:r w:rsidR="004963F4">
        <w:rPr>
          <w:rFonts w:asciiTheme="majorBidi" w:hAnsiTheme="majorBidi" w:cstheme="majorBidi"/>
          <w:sz w:val="24"/>
          <w:szCs w:val="24"/>
        </w:rPr>
        <w:t xml:space="preserve">, medications </w:t>
      </w:r>
      <w:r w:rsidRPr="0086593D">
        <w:rPr>
          <w:rFonts w:asciiTheme="majorBidi" w:hAnsiTheme="majorBidi" w:cstheme="majorBidi"/>
          <w:sz w:val="24"/>
          <w:szCs w:val="24"/>
        </w:rPr>
        <w:t xml:space="preserve"> </w:t>
      </w:r>
      <w:r w:rsidR="004963F4">
        <w:rPr>
          <w:rFonts w:asciiTheme="majorBidi" w:hAnsiTheme="majorBidi" w:cstheme="majorBidi"/>
          <w:sz w:val="24"/>
          <w:szCs w:val="24"/>
        </w:rPr>
        <w:t xml:space="preserve">and Comorbid illness </w:t>
      </w:r>
      <w:r w:rsidR="001D035E">
        <w:rPr>
          <w:rFonts w:asciiTheme="majorBidi" w:hAnsiTheme="majorBidi" w:cstheme="majorBidi"/>
          <w:sz w:val="24"/>
          <w:szCs w:val="24"/>
        </w:rPr>
        <w:t>[8]</w:t>
      </w:r>
      <w:r w:rsidR="009038DA" w:rsidRPr="0086593D">
        <w:rPr>
          <w:rFonts w:asciiTheme="majorBidi" w:hAnsiTheme="majorBidi" w:cstheme="majorBidi"/>
          <w:sz w:val="24"/>
          <w:szCs w:val="24"/>
        </w:rPr>
        <w:t xml:space="preserve"> </w:t>
      </w:r>
      <w:r w:rsidR="00277C14">
        <w:rPr>
          <w:rFonts w:asciiTheme="majorBidi" w:hAnsiTheme="majorBidi" w:cstheme="majorBidi"/>
          <w:sz w:val="24"/>
          <w:szCs w:val="24"/>
        </w:rPr>
        <w:t>.</w:t>
      </w:r>
    </w:p>
    <w:p w:rsidR="00D668B2" w:rsidRDefault="00D668B2" w:rsidP="006E2FD3">
      <w:pPr>
        <w:autoSpaceDE w:val="0"/>
        <w:autoSpaceDN w:val="0"/>
        <w:bidi w:val="0"/>
        <w:adjustRightInd w:val="0"/>
        <w:spacing w:after="0" w:line="240" w:lineRule="auto"/>
        <w:jc w:val="both"/>
        <w:rPr>
          <w:rFonts w:asciiTheme="majorBidi" w:hAnsiTheme="majorBidi" w:cstheme="majorBidi"/>
          <w:b/>
          <w:bCs/>
          <w:sz w:val="28"/>
          <w:szCs w:val="28"/>
          <w:u w:val="single"/>
        </w:rPr>
      </w:pPr>
    </w:p>
    <w:p w:rsidR="004859D6" w:rsidRPr="00BE10F7" w:rsidRDefault="00485E20" w:rsidP="006E2FD3">
      <w:pPr>
        <w:autoSpaceDE w:val="0"/>
        <w:autoSpaceDN w:val="0"/>
        <w:bidi w:val="0"/>
        <w:adjustRightInd w:val="0"/>
        <w:spacing w:after="0" w:line="240" w:lineRule="auto"/>
        <w:jc w:val="both"/>
        <w:rPr>
          <w:rFonts w:asciiTheme="majorBidi" w:hAnsiTheme="majorBidi" w:cstheme="majorBidi"/>
          <w:b/>
          <w:bCs/>
          <w:sz w:val="28"/>
          <w:szCs w:val="28"/>
          <w:u w:val="single"/>
        </w:rPr>
      </w:pPr>
      <w:r w:rsidRPr="00BE10F7">
        <w:rPr>
          <w:rFonts w:asciiTheme="majorBidi" w:hAnsiTheme="majorBidi" w:cstheme="majorBidi"/>
          <w:b/>
          <w:bCs/>
          <w:sz w:val="28"/>
          <w:szCs w:val="28"/>
          <w:u w:val="single"/>
        </w:rPr>
        <w:lastRenderedPageBreak/>
        <w:t>Materials and M</w:t>
      </w:r>
      <w:r w:rsidR="004859D6" w:rsidRPr="00BE10F7">
        <w:rPr>
          <w:rFonts w:asciiTheme="majorBidi" w:hAnsiTheme="majorBidi" w:cstheme="majorBidi"/>
          <w:b/>
          <w:bCs/>
          <w:sz w:val="28"/>
          <w:szCs w:val="28"/>
          <w:u w:val="single"/>
        </w:rPr>
        <w:t>ethods</w:t>
      </w:r>
    </w:p>
    <w:p w:rsidR="0045051D" w:rsidRPr="00B60A91" w:rsidRDefault="007D2B17" w:rsidP="006E2FD3">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4859D6">
        <w:rPr>
          <w:rFonts w:asciiTheme="majorBidi" w:hAnsiTheme="majorBidi" w:cstheme="majorBidi"/>
          <w:sz w:val="24"/>
          <w:szCs w:val="24"/>
        </w:rPr>
        <w:t xml:space="preserve">A cross sectional study of sixty patients with chronic renal failure with continuous hemodialysis at </w:t>
      </w:r>
      <w:r w:rsidR="006F12A3">
        <w:rPr>
          <w:rFonts w:asciiTheme="majorBidi" w:hAnsiTheme="majorBidi" w:cstheme="majorBidi"/>
          <w:sz w:val="24"/>
          <w:szCs w:val="24"/>
        </w:rPr>
        <w:t>A</w:t>
      </w:r>
      <w:r w:rsidR="004859D6">
        <w:rPr>
          <w:rFonts w:asciiTheme="majorBidi" w:hAnsiTheme="majorBidi" w:cstheme="majorBidi"/>
          <w:sz w:val="24"/>
          <w:szCs w:val="24"/>
        </w:rPr>
        <w:t xml:space="preserve">rtificial </w:t>
      </w:r>
      <w:r w:rsidR="006F12A3">
        <w:rPr>
          <w:rFonts w:asciiTheme="majorBidi" w:hAnsiTheme="majorBidi" w:cstheme="majorBidi"/>
          <w:sz w:val="24"/>
          <w:szCs w:val="24"/>
        </w:rPr>
        <w:t>K</w:t>
      </w:r>
      <w:r w:rsidR="004859D6">
        <w:rPr>
          <w:rFonts w:asciiTheme="majorBidi" w:hAnsiTheme="majorBidi" w:cstheme="majorBidi"/>
          <w:sz w:val="24"/>
          <w:szCs w:val="24"/>
        </w:rPr>
        <w:t xml:space="preserve">idney </w:t>
      </w:r>
      <w:r w:rsidR="006F12A3">
        <w:rPr>
          <w:rFonts w:asciiTheme="majorBidi" w:hAnsiTheme="majorBidi" w:cstheme="majorBidi"/>
          <w:sz w:val="24"/>
          <w:szCs w:val="24"/>
        </w:rPr>
        <w:t>U</w:t>
      </w:r>
      <w:r w:rsidR="004859D6">
        <w:rPr>
          <w:rFonts w:asciiTheme="majorBidi" w:hAnsiTheme="majorBidi" w:cstheme="majorBidi"/>
          <w:sz w:val="24"/>
          <w:szCs w:val="24"/>
        </w:rPr>
        <w:t xml:space="preserve">nite in </w:t>
      </w:r>
      <w:proofErr w:type="spellStart"/>
      <w:r w:rsidR="004859D6">
        <w:rPr>
          <w:rFonts w:asciiTheme="majorBidi" w:hAnsiTheme="majorBidi" w:cstheme="majorBidi"/>
          <w:sz w:val="24"/>
          <w:szCs w:val="24"/>
        </w:rPr>
        <w:t>Marjan</w:t>
      </w:r>
      <w:proofErr w:type="spellEnd"/>
      <w:r w:rsidR="004859D6">
        <w:rPr>
          <w:rFonts w:asciiTheme="majorBidi" w:hAnsiTheme="majorBidi" w:cstheme="majorBidi"/>
          <w:sz w:val="24"/>
          <w:szCs w:val="24"/>
        </w:rPr>
        <w:t xml:space="preserve"> teaching hospital in Al-</w:t>
      </w:r>
      <w:proofErr w:type="spellStart"/>
      <w:r w:rsidR="004859D6">
        <w:rPr>
          <w:rFonts w:asciiTheme="majorBidi" w:hAnsiTheme="majorBidi" w:cstheme="majorBidi"/>
          <w:sz w:val="24"/>
          <w:szCs w:val="24"/>
        </w:rPr>
        <w:t>Hilla</w:t>
      </w:r>
      <w:proofErr w:type="spellEnd"/>
      <w:r w:rsidR="004859D6">
        <w:rPr>
          <w:rFonts w:asciiTheme="majorBidi" w:hAnsiTheme="majorBidi" w:cstheme="majorBidi"/>
          <w:sz w:val="24"/>
          <w:szCs w:val="24"/>
        </w:rPr>
        <w:t xml:space="preserve"> City.</w:t>
      </w:r>
      <w:r w:rsidR="00B60A91">
        <w:rPr>
          <w:rFonts w:asciiTheme="majorBidi" w:hAnsiTheme="majorBidi" w:cstheme="majorBidi"/>
          <w:sz w:val="24"/>
          <w:szCs w:val="24"/>
        </w:rPr>
        <w:t xml:space="preserve"> </w:t>
      </w:r>
      <w:r w:rsidR="004859D6">
        <w:rPr>
          <w:rFonts w:asciiTheme="majorBidi" w:hAnsiTheme="majorBidi" w:cstheme="majorBidi"/>
          <w:sz w:val="24"/>
          <w:szCs w:val="24"/>
        </w:rPr>
        <w:t>The study was conducted in the period from November  2012 to May 2013.sixty apparently healthy volunteer</w:t>
      </w:r>
      <w:r w:rsidR="00B60A91">
        <w:rPr>
          <w:rFonts w:asciiTheme="majorBidi" w:hAnsiTheme="majorBidi" w:cstheme="majorBidi"/>
          <w:sz w:val="24"/>
          <w:szCs w:val="24"/>
        </w:rPr>
        <w:t>(35 male &amp;25 female) enrolled in the study</w:t>
      </w:r>
      <w:r w:rsidR="004859D6">
        <w:rPr>
          <w:rFonts w:asciiTheme="majorBidi" w:hAnsiTheme="majorBidi" w:cstheme="majorBidi"/>
          <w:sz w:val="24"/>
          <w:szCs w:val="24"/>
        </w:rPr>
        <w:t xml:space="preserve"> , the patients and control groups are match  in age and sex .</w:t>
      </w:r>
      <w:r w:rsidR="00B60A91">
        <w:rPr>
          <w:rFonts w:asciiTheme="majorBidi" w:hAnsiTheme="majorBidi" w:cstheme="majorBidi"/>
          <w:sz w:val="24"/>
          <w:szCs w:val="24"/>
        </w:rPr>
        <w:t xml:space="preserve"> the patients group consist of 35 male and 25 </w:t>
      </w:r>
      <w:proofErr w:type="spellStart"/>
      <w:r w:rsidR="00B60A91">
        <w:rPr>
          <w:rFonts w:asciiTheme="majorBidi" w:hAnsiTheme="majorBidi" w:cstheme="majorBidi"/>
          <w:sz w:val="24"/>
          <w:szCs w:val="24"/>
        </w:rPr>
        <w:t>female.Their</w:t>
      </w:r>
      <w:proofErr w:type="spellEnd"/>
      <w:r w:rsidR="00B60A91">
        <w:rPr>
          <w:rFonts w:asciiTheme="majorBidi" w:hAnsiTheme="majorBidi" w:cstheme="majorBidi"/>
          <w:sz w:val="24"/>
          <w:szCs w:val="24"/>
        </w:rPr>
        <w:t xml:space="preserve"> age range from 20-58 years, with a mean age of </w:t>
      </w:r>
      <w:r w:rsidR="00B60A91" w:rsidRPr="00B60A91">
        <w:rPr>
          <w:rFonts w:asciiTheme="majorBidi" w:hAnsiTheme="majorBidi" w:cstheme="majorBidi"/>
          <w:sz w:val="24"/>
          <w:szCs w:val="24"/>
          <w:lang w:bidi="ar-IQ"/>
        </w:rPr>
        <w:t>43.72 ±11.142</w:t>
      </w:r>
      <w:r w:rsidR="00B60A91">
        <w:rPr>
          <w:rFonts w:asciiTheme="majorBidi" w:hAnsiTheme="majorBidi" w:cstheme="majorBidi"/>
          <w:sz w:val="24"/>
          <w:szCs w:val="24"/>
        </w:rPr>
        <w:t xml:space="preserve"> years</w:t>
      </w:r>
      <w:r w:rsidR="00B60A91" w:rsidRPr="00B60A91">
        <w:rPr>
          <w:rFonts w:asciiTheme="majorBidi" w:hAnsiTheme="majorBidi" w:cstheme="majorBidi"/>
          <w:sz w:val="24"/>
          <w:szCs w:val="24"/>
        </w:rPr>
        <w:t xml:space="preserve"> </w:t>
      </w:r>
      <w:r w:rsidR="00B60A91">
        <w:rPr>
          <w:rFonts w:asciiTheme="majorBidi" w:hAnsiTheme="majorBidi" w:cstheme="majorBidi"/>
          <w:sz w:val="24"/>
          <w:szCs w:val="24"/>
        </w:rPr>
        <w:t>.</w:t>
      </w:r>
      <w:r w:rsidR="004859D6" w:rsidRPr="00B60A91">
        <w:rPr>
          <w:rFonts w:asciiTheme="majorBidi" w:hAnsiTheme="majorBidi" w:cstheme="majorBidi"/>
          <w:sz w:val="24"/>
          <w:szCs w:val="24"/>
        </w:rPr>
        <w:t xml:space="preserve"> </w:t>
      </w:r>
      <w:r w:rsidR="00B60A91">
        <w:rPr>
          <w:rFonts w:asciiTheme="majorBidi" w:hAnsiTheme="majorBidi" w:cstheme="majorBidi"/>
          <w:sz w:val="24"/>
          <w:szCs w:val="24"/>
        </w:rPr>
        <w:t xml:space="preserve">the control group consist of 35 male and 25 female with age  range between 20 58 years ,with a mean age of </w:t>
      </w:r>
      <w:r w:rsidR="00485E20">
        <w:rPr>
          <w:rFonts w:asciiTheme="majorBidi" w:hAnsiTheme="majorBidi" w:cstheme="majorBidi"/>
          <w:sz w:val="24"/>
          <w:szCs w:val="24"/>
        </w:rPr>
        <w:t>Patients group divided into three group according to duration of hemodialysis</w:t>
      </w:r>
      <w:r w:rsidR="00BE10F7">
        <w:rPr>
          <w:rFonts w:asciiTheme="majorBidi" w:hAnsiTheme="majorBidi" w:cstheme="majorBidi"/>
          <w:sz w:val="24"/>
          <w:szCs w:val="24"/>
        </w:rPr>
        <w:t>g</w:t>
      </w:r>
      <w:r w:rsidR="00485E20">
        <w:rPr>
          <w:rFonts w:asciiTheme="majorBidi" w:hAnsiTheme="majorBidi" w:cstheme="majorBidi"/>
          <w:sz w:val="24"/>
          <w:szCs w:val="24"/>
        </w:rPr>
        <w:t>roup1:dura</w:t>
      </w:r>
      <w:r w:rsidR="00BE10F7">
        <w:rPr>
          <w:rFonts w:asciiTheme="majorBidi" w:hAnsiTheme="majorBidi" w:cstheme="majorBidi"/>
          <w:sz w:val="24"/>
          <w:szCs w:val="24"/>
        </w:rPr>
        <w:t>tion of hemodialysis &lt;18 months,g</w:t>
      </w:r>
      <w:r w:rsidR="0045051D">
        <w:rPr>
          <w:rFonts w:asciiTheme="majorBidi" w:hAnsiTheme="majorBidi" w:cstheme="majorBidi"/>
          <w:sz w:val="24"/>
          <w:szCs w:val="24"/>
        </w:rPr>
        <w:t>roup2:</w:t>
      </w:r>
      <w:r w:rsidR="0045051D" w:rsidRPr="0045051D">
        <w:rPr>
          <w:rFonts w:asciiTheme="majorBidi" w:hAnsiTheme="majorBidi" w:cstheme="majorBidi"/>
          <w:sz w:val="24"/>
          <w:szCs w:val="24"/>
        </w:rPr>
        <w:t xml:space="preserve"> </w:t>
      </w:r>
      <w:r w:rsidR="0045051D">
        <w:rPr>
          <w:rFonts w:asciiTheme="majorBidi" w:hAnsiTheme="majorBidi" w:cstheme="majorBidi"/>
          <w:sz w:val="24"/>
          <w:szCs w:val="24"/>
        </w:rPr>
        <w:t>durati</w:t>
      </w:r>
      <w:r w:rsidR="00BE10F7">
        <w:rPr>
          <w:rFonts w:asciiTheme="majorBidi" w:hAnsiTheme="majorBidi" w:cstheme="majorBidi"/>
          <w:sz w:val="24"/>
          <w:szCs w:val="24"/>
        </w:rPr>
        <w:t>on of hemodialysis 18-36 months and g</w:t>
      </w:r>
      <w:r w:rsidR="0045051D">
        <w:rPr>
          <w:rFonts w:asciiTheme="majorBidi" w:hAnsiTheme="majorBidi" w:cstheme="majorBidi"/>
          <w:sz w:val="24"/>
          <w:szCs w:val="24"/>
        </w:rPr>
        <w:t>roup3:</w:t>
      </w:r>
      <w:r w:rsidR="0045051D" w:rsidRPr="0045051D">
        <w:rPr>
          <w:rFonts w:asciiTheme="majorBidi" w:hAnsiTheme="majorBidi" w:cstheme="majorBidi"/>
          <w:sz w:val="24"/>
          <w:szCs w:val="24"/>
        </w:rPr>
        <w:t xml:space="preserve"> </w:t>
      </w:r>
      <w:r w:rsidR="0045051D">
        <w:rPr>
          <w:rFonts w:asciiTheme="majorBidi" w:hAnsiTheme="majorBidi" w:cstheme="majorBidi"/>
          <w:sz w:val="24"/>
          <w:szCs w:val="24"/>
        </w:rPr>
        <w:t>duration of hemodialysis 36-54 months.</w:t>
      </w:r>
    </w:p>
    <w:p w:rsidR="007D2B17" w:rsidRPr="006E2FD3" w:rsidRDefault="00BE10F7" w:rsidP="006E2FD3">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1F11DD">
        <w:rPr>
          <w:rFonts w:asciiTheme="majorBidi" w:hAnsiTheme="majorBidi" w:cstheme="majorBidi"/>
          <w:sz w:val="24"/>
          <w:szCs w:val="24"/>
        </w:rPr>
        <w:t>Hormonal study was done f</w:t>
      </w:r>
      <w:r w:rsidR="009038DA">
        <w:rPr>
          <w:rFonts w:asciiTheme="majorBidi" w:hAnsiTheme="majorBidi" w:cstheme="majorBidi"/>
          <w:sz w:val="24"/>
          <w:szCs w:val="24"/>
        </w:rPr>
        <w:t>or patients and control group by</w:t>
      </w:r>
      <w:r w:rsidR="001F11DD">
        <w:rPr>
          <w:rFonts w:asciiTheme="majorBidi" w:hAnsiTheme="majorBidi" w:cstheme="majorBidi"/>
          <w:sz w:val="24"/>
          <w:szCs w:val="24"/>
        </w:rPr>
        <w:t xml:space="preserve"> </w:t>
      </w:r>
      <w:proofErr w:type="spellStart"/>
      <w:r w:rsidR="001F11DD">
        <w:rPr>
          <w:rFonts w:asciiTheme="majorBidi" w:hAnsiTheme="majorBidi" w:cstheme="majorBidi"/>
          <w:sz w:val="24"/>
          <w:szCs w:val="24"/>
        </w:rPr>
        <w:t>viadas</w:t>
      </w:r>
      <w:proofErr w:type="spellEnd"/>
      <w:r w:rsidR="009038DA">
        <w:rPr>
          <w:rFonts w:asciiTheme="majorBidi" w:hAnsiTheme="majorBidi" w:cstheme="majorBidi"/>
          <w:sz w:val="24"/>
          <w:szCs w:val="24"/>
        </w:rPr>
        <w:t xml:space="preserve"> technique </w:t>
      </w:r>
      <w:r w:rsidR="001F11DD">
        <w:rPr>
          <w:rFonts w:asciiTheme="majorBidi" w:hAnsiTheme="majorBidi" w:cstheme="majorBidi"/>
          <w:sz w:val="24"/>
          <w:szCs w:val="24"/>
        </w:rPr>
        <w:t xml:space="preserve"> </w:t>
      </w:r>
      <w:r w:rsidR="00D668B2">
        <w:rPr>
          <w:rFonts w:asciiTheme="majorBidi" w:hAnsiTheme="majorBidi" w:cstheme="majorBidi"/>
          <w:sz w:val="24"/>
          <w:szCs w:val="24"/>
        </w:rPr>
        <w:t xml:space="preserve"> for prolactin hormone</w:t>
      </w:r>
      <w:r w:rsidR="0026578F">
        <w:rPr>
          <w:rFonts w:asciiTheme="majorBidi" w:hAnsiTheme="majorBidi" w:cstheme="majorBidi"/>
          <w:sz w:val="24"/>
          <w:szCs w:val="24"/>
        </w:rPr>
        <w:t>,</w:t>
      </w:r>
      <w:r w:rsidR="00D668B2">
        <w:rPr>
          <w:rFonts w:asciiTheme="majorBidi" w:hAnsiTheme="majorBidi" w:cstheme="majorBidi"/>
          <w:sz w:val="24"/>
          <w:szCs w:val="24"/>
        </w:rPr>
        <w:t xml:space="preserve"> </w:t>
      </w:r>
      <w:r w:rsidR="0026578F">
        <w:rPr>
          <w:rFonts w:asciiTheme="majorBidi" w:hAnsiTheme="majorBidi" w:cstheme="majorBidi"/>
          <w:sz w:val="24"/>
          <w:szCs w:val="24"/>
        </w:rPr>
        <w:t>follicle stimulatin</w:t>
      </w:r>
      <w:r w:rsidR="00D668B2">
        <w:rPr>
          <w:rFonts w:asciiTheme="majorBidi" w:hAnsiTheme="majorBidi" w:cstheme="majorBidi"/>
          <w:sz w:val="24"/>
          <w:szCs w:val="24"/>
        </w:rPr>
        <w:t xml:space="preserve">g hormone, </w:t>
      </w:r>
      <w:proofErr w:type="spellStart"/>
      <w:r w:rsidR="00D668B2">
        <w:rPr>
          <w:rFonts w:asciiTheme="majorBidi" w:hAnsiTheme="majorBidi" w:cstheme="majorBidi"/>
          <w:sz w:val="24"/>
          <w:szCs w:val="24"/>
        </w:rPr>
        <w:t>leutienizing</w:t>
      </w:r>
      <w:proofErr w:type="spellEnd"/>
      <w:r w:rsidR="00D668B2">
        <w:rPr>
          <w:rFonts w:asciiTheme="majorBidi" w:hAnsiTheme="majorBidi" w:cstheme="majorBidi"/>
          <w:sz w:val="24"/>
          <w:szCs w:val="24"/>
        </w:rPr>
        <w:t xml:space="preserve"> hormone, estradiol hormone</w:t>
      </w:r>
      <w:r w:rsidR="0026578F">
        <w:rPr>
          <w:rFonts w:asciiTheme="majorBidi" w:hAnsiTheme="majorBidi" w:cstheme="majorBidi"/>
          <w:sz w:val="24"/>
          <w:szCs w:val="24"/>
        </w:rPr>
        <w:t>,</w:t>
      </w:r>
      <w:r w:rsidR="00D668B2">
        <w:rPr>
          <w:rFonts w:asciiTheme="majorBidi" w:hAnsiTheme="majorBidi" w:cstheme="majorBidi"/>
          <w:sz w:val="24"/>
          <w:szCs w:val="24"/>
        </w:rPr>
        <w:t xml:space="preserve"> </w:t>
      </w:r>
      <w:r w:rsidR="0026578F">
        <w:rPr>
          <w:rFonts w:asciiTheme="majorBidi" w:hAnsiTheme="majorBidi" w:cstheme="majorBidi"/>
          <w:sz w:val="24"/>
          <w:szCs w:val="24"/>
        </w:rPr>
        <w:t>tes</w:t>
      </w:r>
      <w:r w:rsidR="00D668B2">
        <w:rPr>
          <w:rFonts w:asciiTheme="majorBidi" w:hAnsiTheme="majorBidi" w:cstheme="majorBidi"/>
          <w:sz w:val="24"/>
          <w:szCs w:val="24"/>
        </w:rPr>
        <w:t>tosterone hormone</w:t>
      </w:r>
      <w:r w:rsidR="0026578F">
        <w:rPr>
          <w:rFonts w:asciiTheme="majorBidi" w:hAnsiTheme="majorBidi" w:cstheme="majorBidi"/>
          <w:sz w:val="24"/>
          <w:szCs w:val="24"/>
        </w:rPr>
        <w:t xml:space="preserve">, T3, T4 and TSH as well as </w:t>
      </w:r>
      <w:r w:rsidR="001F11DD">
        <w:rPr>
          <w:rFonts w:asciiTheme="majorBidi" w:hAnsiTheme="majorBidi" w:cstheme="majorBidi"/>
          <w:sz w:val="24"/>
          <w:szCs w:val="24"/>
        </w:rPr>
        <w:t>assessment of  autonomic  nervous system was done for male only</w:t>
      </w:r>
      <w:r w:rsidR="0026578F">
        <w:rPr>
          <w:rFonts w:asciiTheme="majorBidi" w:hAnsiTheme="majorBidi" w:cstheme="majorBidi"/>
          <w:sz w:val="24"/>
          <w:szCs w:val="24"/>
        </w:rPr>
        <w:t xml:space="preserve">  by the fallowing test </w:t>
      </w:r>
      <w:r w:rsidR="0026578F" w:rsidRPr="0026578F">
        <w:rPr>
          <w:rFonts w:asciiTheme="majorBidi" w:hAnsiTheme="majorBidi" w:cstheme="majorBidi"/>
          <w:sz w:val="28"/>
          <w:szCs w:val="28"/>
        </w:rPr>
        <w:t xml:space="preserve"> </w:t>
      </w:r>
      <w:r w:rsidR="00485E20">
        <w:rPr>
          <w:rFonts w:asciiTheme="majorBidi" w:hAnsiTheme="majorBidi" w:cstheme="majorBidi"/>
          <w:sz w:val="24"/>
          <w:szCs w:val="24"/>
        </w:rPr>
        <w:t>heart rate response to deep b</w:t>
      </w:r>
      <w:r w:rsidR="0026578F" w:rsidRPr="00485E20">
        <w:rPr>
          <w:rFonts w:asciiTheme="majorBidi" w:hAnsiTheme="majorBidi" w:cstheme="majorBidi"/>
          <w:sz w:val="24"/>
          <w:szCs w:val="24"/>
        </w:rPr>
        <w:t>reathing,</w:t>
      </w:r>
      <w:r w:rsidR="0026578F" w:rsidRPr="00485E20">
        <w:rPr>
          <w:rFonts w:asciiTheme="majorBidi" w:hAnsiTheme="majorBidi" w:cstheme="majorBidi"/>
          <w:color w:val="231F20"/>
          <w:sz w:val="24"/>
          <w:szCs w:val="24"/>
        </w:rPr>
        <w:t xml:space="preserve"> </w:t>
      </w:r>
      <w:r w:rsidR="00485E20">
        <w:rPr>
          <w:rFonts w:asciiTheme="majorBidi" w:hAnsiTheme="majorBidi" w:cstheme="majorBidi"/>
          <w:color w:val="231F20"/>
          <w:sz w:val="24"/>
          <w:szCs w:val="24"/>
        </w:rPr>
        <w:t xml:space="preserve">heart rate response to </w:t>
      </w:r>
      <w:proofErr w:type="spellStart"/>
      <w:r w:rsidR="00485E20">
        <w:rPr>
          <w:rFonts w:asciiTheme="majorBidi" w:hAnsiTheme="majorBidi" w:cstheme="majorBidi"/>
          <w:color w:val="231F20"/>
          <w:sz w:val="24"/>
          <w:szCs w:val="24"/>
        </w:rPr>
        <w:t>valsalva</w:t>
      </w:r>
      <w:proofErr w:type="spellEnd"/>
      <w:r w:rsidR="00485E20">
        <w:rPr>
          <w:rFonts w:asciiTheme="majorBidi" w:hAnsiTheme="majorBidi" w:cstheme="majorBidi"/>
          <w:color w:val="231F20"/>
          <w:sz w:val="24"/>
          <w:szCs w:val="24"/>
        </w:rPr>
        <w:t xml:space="preserve"> m</w:t>
      </w:r>
      <w:r w:rsidR="0026578F" w:rsidRPr="00485E20">
        <w:rPr>
          <w:rFonts w:asciiTheme="majorBidi" w:hAnsiTheme="majorBidi" w:cstheme="majorBidi"/>
          <w:color w:val="231F20"/>
          <w:sz w:val="24"/>
          <w:szCs w:val="24"/>
        </w:rPr>
        <w:t>aneuver</w:t>
      </w:r>
      <w:r w:rsidR="0026578F" w:rsidRPr="00485E20">
        <w:rPr>
          <w:rFonts w:asciiTheme="majorBidi" w:hAnsiTheme="majorBidi" w:cstheme="majorBidi"/>
          <w:color w:val="000000"/>
          <w:sz w:val="24"/>
          <w:szCs w:val="24"/>
        </w:rPr>
        <w:t xml:space="preserve"> </w:t>
      </w:r>
      <w:r w:rsidR="00485E20">
        <w:rPr>
          <w:rFonts w:asciiTheme="majorBidi" w:hAnsiTheme="majorBidi" w:cstheme="majorBidi"/>
          <w:color w:val="000000"/>
          <w:sz w:val="24"/>
          <w:szCs w:val="24"/>
        </w:rPr>
        <w:t>and heart rate response to s</w:t>
      </w:r>
      <w:r w:rsidR="0026578F" w:rsidRPr="00485E20">
        <w:rPr>
          <w:rFonts w:asciiTheme="majorBidi" w:hAnsiTheme="majorBidi" w:cstheme="majorBidi"/>
          <w:color w:val="000000"/>
          <w:sz w:val="24"/>
          <w:szCs w:val="24"/>
        </w:rPr>
        <w:t>tanding</w:t>
      </w:r>
      <w:r w:rsidR="00D668B2">
        <w:rPr>
          <w:rFonts w:asciiTheme="majorBidi" w:hAnsiTheme="majorBidi" w:cstheme="majorBidi"/>
          <w:color w:val="000000"/>
          <w:sz w:val="24"/>
          <w:szCs w:val="24"/>
        </w:rPr>
        <w:t xml:space="preserve"> </w:t>
      </w:r>
      <w:r w:rsidR="0026578F" w:rsidRPr="00485E20">
        <w:rPr>
          <w:rFonts w:asciiTheme="majorBidi" w:hAnsiTheme="majorBidi" w:cstheme="majorBidi"/>
          <w:sz w:val="24"/>
          <w:szCs w:val="24"/>
        </w:rPr>
        <w:t>(30/15 ratio)</w:t>
      </w:r>
      <w:r w:rsidR="00D668B2">
        <w:rPr>
          <w:rFonts w:asciiTheme="majorBidi" w:hAnsiTheme="majorBidi" w:cstheme="majorBidi"/>
          <w:sz w:val="24"/>
          <w:szCs w:val="24"/>
        </w:rPr>
        <w:t xml:space="preserve"> for parasympathetic system</w:t>
      </w:r>
      <w:r w:rsidR="00485E20">
        <w:rPr>
          <w:rFonts w:asciiTheme="majorBidi" w:hAnsiTheme="majorBidi" w:cstheme="majorBidi"/>
          <w:sz w:val="24"/>
          <w:szCs w:val="24"/>
        </w:rPr>
        <w:t xml:space="preserve">, while </w:t>
      </w:r>
      <w:r w:rsidR="00485E20" w:rsidRPr="006E2FD3">
        <w:rPr>
          <w:rFonts w:asciiTheme="majorBidi" w:hAnsiTheme="majorBidi" w:cstheme="majorBidi"/>
          <w:sz w:val="24"/>
          <w:szCs w:val="24"/>
        </w:rPr>
        <w:t>sympathetic system can be asses by blood pressure response to standing and blood pressure response to hand gripe.</w:t>
      </w:r>
    </w:p>
    <w:p w:rsidR="00D668B2" w:rsidRPr="006E2FD3" w:rsidRDefault="00D668B2" w:rsidP="006E2FD3">
      <w:pPr>
        <w:autoSpaceDE w:val="0"/>
        <w:autoSpaceDN w:val="0"/>
        <w:bidi w:val="0"/>
        <w:adjustRightInd w:val="0"/>
        <w:spacing w:after="0" w:line="240" w:lineRule="auto"/>
        <w:jc w:val="both"/>
        <w:rPr>
          <w:rFonts w:asciiTheme="majorBidi" w:hAnsiTheme="majorBidi" w:cstheme="majorBidi"/>
          <w:b/>
          <w:bCs/>
          <w:sz w:val="24"/>
          <w:szCs w:val="24"/>
          <w:u w:val="single"/>
        </w:rPr>
      </w:pPr>
    </w:p>
    <w:p w:rsidR="00485E20" w:rsidRPr="006E2FD3" w:rsidRDefault="00D668B2" w:rsidP="006E2FD3">
      <w:pPr>
        <w:autoSpaceDE w:val="0"/>
        <w:autoSpaceDN w:val="0"/>
        <w:bidi w:val="0"/>
        <w:adjustRightInd w:val="0"/>
        <w:spacing w:after="0" w:line="240" w:lineRule="auto"/>
        <w:jc w:val="both"/>
        <w:rPr>
          <w:rFonts w:asciiTheme="majorBidi" w:hAnsiTheme="majorBidi" w:cstheme="majorBidi"/>
          <w:b/>
          <w:bCs/>
          <w:sz w:val="24"/>
          <w:szCs w:val="24"/>
          <w:u w:val="single"/>
        </w:rPr>
      </w:pPr>
      <w:r w:rsidRPr="006E2FD3">
        <w:rPr>
          <w:rFonts w:asciiTheme="majorBidi" w:hAnsiTheme="majorBidi" w:cstheme="majorBidi"/>
          <w:b/>
          <w:bCs/>
          <w:sz w:val="24"/>
          <w:szCs w:val="24"/>
          <w:u w:val="single"/>
        </w:rPr>
        <w:t>R</w:t>
      </w:r>
      <w:r w:rsidR="00485E20" w:rsidRPr="006E2FD3">
        <w:rPr>
          <w:rFonts w:asciiTheme="majorBidi" w:hAnsiTheme="majorBidi" w:cstheme="majorBidi"/>
          <w:b/>
          <w:bCs/>
          <w:sz w:val="24"/>
          <w:szCs w:val="24"/>
          <w:u w:val="single"/>
        </w:rPr>
        <w:t xml:space="preserve">esults </w:t>
      </w:r>
    </w:p>
    <w:p w:rsidR="003358BE" w:rsidRDefault="0045051D" w:rsidP="006E2FD3">
      <w:pPr>
        <w:autoSpaceDE w:val="0"/>
        <w:autoSpaceDN w:val="0"/>
        <w:bidi w:val="0"/>
        <w:adjustRightInd w:val="0"/>
        <w:spacing w:after="0" w:line="240" w:lineRule="auto"/>
        <w:jc w:val="both"/>
        <w:rPr>
          <w:rFonts w:ascii="Times New Roman" w:hAnsi="Times New Roman" w:cs="Times New Roman"/>
          <w:sz w:val="24"/>
          <w:szCs w:val="24"/>
          <w:lang w:bidi="ar-IQ"/>
        </w:rPr>
      </w:pPr>
      <w:r w:rsidRPr="006E2FD3">
        <w:rPr>
          <w:rFonts w:asciiTheme="majorBidi" w:hAnsiTheme="majorBidi" w:cstheme="majorBidi"/>
          <w:sz w:val="24"/>
          <w:szCs w:val="24"/>
        </w:rPr>
        <w:t xml:space="preserve">     In this study  number and percentage of chronic renal failure patients decrease as duration of hemodialysis increase.</w:t>
      </w:r>
      <w:r w:rsidR="00AA26A3" w:rsidRPr="006E2FD3">
        <w:rPr>
          <w:rFonts w:ascii="Times New Roman" w:hAnsi="Times New Roman" w:cs="Times New Roman"/>
          <w:sz w:val="24"/>
          <w:szCs w:val="24"/>
          <w:lang w:bidi="ar-IQ"/>
        </w:rPr>
        <w:t xml:space="preserve"> Regarding  CRF</w:t>
      </w:r>
      <w:r w:rsidRPr="006E2FD3">
        <w:rPr>
          <w:rFonts w:ascii="Times New Roman" w:hAnsi="Times New Roman" w:cs="Times New Roman"/>
          <w:sz w:val="24"/>
          <w:szCs w:val="24"/>
          <w:lang w:bidi="ar-IQ"/>
        </w:rPr>
        <w:t xml:space="preserve"> female patients  there was 14 </w:t>
      </w:r>
      <w:r w:rsidRPr="006E2FD3">
        <w:rPr>
          <w:rFonts w:ascii="Times New Roman" w:hAnsi="Times New Roman" w:cs="Times New Roman"/>
          <w:sz w:val="24"/>
          <w:szCs w:val="24"/>
          <w:lang w:bidi="ar-IQ"/>
        </w:rPr>
        <w:lastRenderedPageBreak/>
        <w:t>patients (56%)  who had history  of menstrual cycle</w:t>
      </w:r>
      <w:r w:rsidRPr="0045051D">
        <w:rPr>
          <w:rFonts w:ascii="Times New Roman" w:hAnsi="Times New Roman" w:cs="Times New Roman"/>
          <w:sz w:val="24"/>
          <w:szCs w:val="24"/>
          <w:lang w:bidi="ar-IQ"/>
        </w:rPr>
        <w:t xml:space="preserve"> irregularity  while only 5( 20%) female of healthy subjects had  history of  menstrual cycle  irregularity. Statistical analysis revealed high significant difference (p&lt;0.01) between patients and control group</w:t>
      </w:r>
      <w:r>
        <w:rPr>
          <w:rFonts w:ascii="Times New Roman" w:hAnsi="Times New Roman" w:cs="Times New Roman"/>
          <w:sz w:val="28"/>
          <w:szCs w:val="28"/>
          <w:lang w:bidi="ar-IQ"/>
        </w:rPr>
        <w:t xml:space="preserve"> </w:t>
      </w:r>
      <w:r>
        <w:rPr>
          <w:rFonts w:ascii="Times New Roman" w:hAnsi="Times New Roman" w:cs="Times New Roman"/>
          <w:sz w:val="24"/>
          <w:szCs w:val="24"/>
          <w:lang w:bidi="ar-IQ"/>
        </w:rPr>
        <w:t>and there was</w:t>
      </w:r>
      <w:r w:rsidRPr="0045051D">
        <w:rPr>
          <w:rFonts w:ascii="Times New Roman" w:hAnsi="Times New Roman" w:cs="Times New Roman"/>
          <w:sz w:val="24"/>
          <w:szCs w:val="24"/>
          <w:lang w:bidi="ar-IQ"/>
        </w:rPr>
        <w:t xml:space="preserve"> significant decrease (p&lt;0.05) in testosterone hormone level  and  high sig</w:t>
      </w:r>
      <w:r w:rsidR="00AA26A3">
        <w:rPr>
          <w:rFonts w:ascii="Times New Roman" w:hAnsi="Times New Roman" w:cs="Times New Roman"/>
          <w:sz w:val="24"/>
          <w:szCs w:val="24"/>
          <w:lang w:bidi="ar-IQ"/>
        </w:rPr>
        <w:t>nificant increase (p&gt;0.05) in  e</w:t>
      </w:r>
      <w:r w:rsidRPr="0045051D">
        <w:rPr>
          <w:rFonts w:ascii="Times New Roman" w:hAnsi="Times New Roman" w:cs="Times New Roman"/>
          <w:sz w:val="24"/>
          <w:szCs w:val="24"/>
          <w:lang w:bidi="ar-IQ"/>
        </w:rPr>
        <w:t>stradiol hormone level in CRF female with menstrual cycle irregularity</w:t>
      </w:r>
      <w:r w:rsidRPr="0045051D">
        <w:rPr>
          <w:rFonts w:ascii="Times New Roman" w:hAnsi="Times New Roman" w:cs="Times New Roman"/>
          <w:sz w:val="28"/>
          <w:szCs w:val="28"/>
          <w:lang w:bidi="ar-IQ"/>
        </w:rPr>
        <w:t xml:space="preserve"> </w:t>
      </w:r>
      <w:proofErr w:type="spellStart"/>
      <w:r w:rsidRPr="0045051D">
        <w:rPr>
          <w:rFonts w:ascii="Times New Roman" w:hAnsi="Times New Roman" w:cs="Times New Roman"/>
          <w:sz w:val="24"/>
          <w:szCs w:val="24"/>
          <w:lang w:bidi="ar-IQ"/>
        </w:rPr>
        <w:t>irregularity</w:t>
      </w:r>
      <w:proofErr w:type="spellEnd"/>
      <w:r w:rsidRPr="0045051D">
        <w:rPr>
          <w:rFonts w:ascii="Times New Roman" w:hAnsi="Times New Roman" w:cs="Times New Roman"/>
          <w:sz w:val="24"/>
          <w:szCs w:val="24"/>
          <w:lang w:bidi="ar-IQ"/>
        </w:rPr>
        <w:t xml:space="preserve"> when compared with CRF femal</w:t>
      </w:r>
      <w:r w:rsidR="006E2FD3">
        <w:rPr>
          <w:rFonts w:ascii="Times New Roman" w:hAnsi="Times New Roman" w:cs="Times New Roman"/>
          <w:sz w:val="24"/>
          <w:szCs w:val="24"/>
          <w:lang w:bidi="ar-IQ"/>
        </w:rPr>
        <w:t>e with  regular menstrual cycle</w:t>
      </w:r>
      <w:r w:rsidR="00CD3083">
        <w:rPr>
          <w:rFonts w:asciiTheme="majorBidi" w:hAnsiTheme="majorBidi" w:cstheme="majorBidi"/>
          <w:sz w:val="24"/>
          <w:szCs w:val="24"/>
        </w:rPr>
        <w:t>.</w:t>
      </w:r>
      <w:r w:rsidR="006E2FD3">
        <w:rPr>
          <w:rFonts w:ascii="Times New Roman" w:hAnsi="Times New Roman" w:cs="Times New Roman"/>
          <w:sz w:val="24"/>
          <w:szCs w:val="24"/>
          <w:lang w:bidi="ar-IQ"/>
        </w:rPr>
        <w:t xml:space="preserve"> </w:t>
      </w:r>
      <w:r w:rsidR="00AA26A3">
        <w:rPr>
          <w:rFonts w:ascii="Times New Roman" w:hAnsi="Times New Roman" w:cs="Times New Roman"/>
          <w:sz w:val="24"/>
          <w:szCs w:val="24"/>
          <w:lang w:bidi="ar-IQ"/>
        </w:rPr>
        <w:t>Regarding  CRF</w:t>
      </w:r>
      <w:r w:rsidR="00A052CB">
        <w:rPr>
          <w:rFonts w:ascii="Times New Roman" w:hAnsi="Times New Roman" w:cs="Times New Roman"/>
          <w:sz w:val="24"/>
          <w:szCs w:val="24"/>
          <w:lang w:bidi="ar-IQ"/>
        </w:rPr>
        <w:t xml:space="preserve"> male </w:t>
      </w:r>
      <w:r w:rsidR="00CD3083" w:rsidRPr="00CD3083">
        <w:rPr>
          <w:rFonts w:ascii="Times New Roman" w:hAnsi="Times New Roman" w:cs="Times New Roman"/>
          <w:sz w:val="24"/>
          <w:szCs w:val="24"/>
          <w:lang w:bidi="ar-IQ"/>
        </w:rPr>
        <w:t xml:space="preserve"> patients there were 21 patients ( 60%) with history of erectile </w:t>
      </w:r>
      <w:r w:rsidR="00CD3083" w:rsidRPr="00CD3083">
        <w:rPr>
          <w:rFonts w:ascii="Times New Roman" w:hAnsi="Times New Roman" w:cs="Times New Roman"/>
          <w:sz w:val="24"/>
          <w:szCs w:val="24"/>
          <w:lang w:bidi="ar-IQ"/>
        </w:rPr>
        <w:lastRenderedPageBreak/>
        <w:t>dysfunction  while in healthy control  male  3 (9%)  had history of erectile dysfunction</w:t>
      </w:r>
      <w:r w:rsidR="00A052CB">
        <w:rPr>
          <w:rFonts w:ascii="Times New Roman" w:hAnsi="Times New Roman" w:cs="Times New Roman"/>
          <w:sz w:val="24"/>
          <w:szCs w:val="24"/>
          <w:lang w:bidi="ar-IQ"/>
        </w:rPr>
        <w:t xml:space="preserve"> as well as</w:t>
      </w:r>
      <w:r w:rsidR="00CD3083">
        <w:rPr>
          <w:rFonts w:ascii="Times New Roman" w:hAnsi="Times New Roman" w:cs="Times New Roman"/>
          <w:sz w:val="24"/>
          <w:szCs w:val="24"/>
          <w:lang w:bidi="ar-IQ"/>
        </w:rPr>
        <w:t xml:space="preserve"> </w:t>
      </w:r>
      <w:r w:rsidR="00A052CB" w:rsidRPr="00CD3083">
        <w:rPr>
          <w:rFonts w:ascii="Times New Roman" w:hAnsi="Times New Roman" w:cs="Times New Roman"/>
          <w:sz w:val="24"/>
          <w:szCs w:val="24"/>
          <w:lang w:bidi="ar-IQ"/>
        </w:rPr>
        <w:t>19 patients (54.3%)  were fou</w:t>
      </w:r>
      <w:r w:rsidR="00A052CB">
        <w:rPr>
          <w:rFonts w:ascii="Times New Roman" w:hAnsi="Times New Roman" w:cs="Times New Roman"/>
          <w:sz w:val="24"/>
          <w:szCs w:val="24"/>
          <w:lang w:bidi="ar-IQ"/>
        </w:rPr>
        <w:t>nd to have cardiovascular autonomic neuropathy . O</w:t>
      </w:r>
      <w:r w:rsidR="00A052CB" w:rsidRPr="00CD3083">
        <w:rPr>
          <w:rFonts w:ascii="Times New Roman" w:hAnsi="Times New Roman" w:cs="Times New Roman"/>
          <w:sz w:val="24"/>
          <w:szCs w:val="24"/>
          <w:lang w:bidi="ar-IQ"/>
        </w:rPr>
        <w:t xml:space="preserve">f these  3patients (15.8%) had early parasympathetic damage ,7 patients (36.8%) had definite parasympathetic and 9 patients (47.4%) had combined damage </w:t>
      </w:r>
      <w:r w:rsidR="00CD3083">
        <w:rPr>
          <w:rFonts w:ascii="Times New Roman" w:hAnsi="Times New Roman" w:cs="Times New Roman"/>
          <w:sz w:val="24"/>
          <w:szCs w:val="24"/>
          <w:lang w:bidi="ar-IQ"/>
        </w:rPr>
        <w:t xml:space="preserve">and there was </w:t>
      </w:r>
      <w:r w:rsidR="00CD3083" w:rsidRPr="00CD3083">
        <w:rPr>
          <w:rFonts w:ascii="Times New Roman" w:hAnsi="Times New Roman" w:cs="Times New Roman"/>
          <w:sz w:val="24"/>
          <w:szCs w:val="24"/>
          <w:lang w:bidi="ar-IQ"/>
        </w:rPr>
        <w:t>high significant decrease (p&lt;0.01) in testosterone hormone level in CRF male with erectile dysfunction in the other hand there is no significant increase (p&gt;0.05) in  estradiol hormone level in CRF male with erectile dysfunction</w:t>
      </w:r>
      <w:r w:rsidR="003358BE">
        <w:rPr>
          <w:rFonts w:ascii="Times New Roman" w:hAnsi="Times New Roman" w:cs="Times New Roman"/>
          <w:sz w:val="24"/>
          <w:szCs w:val="24"/>
          <w:lang w:bidi="ar-IQ"/>
        </w:rPr>
        <w:t>.</w:t>
      </w:r>
    </w:p>
    <w:p w:rsidR="00D668B2" w:rsidRDefault="00D668B2" w:rsidP="00BE10F7">
      <w:pPr>
        <w:autoSpaceDE w:val="0"/>
        <w:autoSpaceDN w:val="0"/>
        <w:bidi w:val="0"/>
        <w:adjustRightInd w:val="0"/>
        <w:spacing w:after="0" w:line="360" w:lineRule="auto"/>
        <w:jc w:val="both"/>
        <w:rPr>
          <w:rFonts w:ascii="Times New Roman" w:hAnsi="Times New Roman" w:cs="Times New Roman"/>
          <w:sz w:val="24"/>
          <w:szCs w:val="24"/>
          <w:lang w:bidi="ar-IQ"/>
        </w:rPr>
        <w:sectPr w:rsidR="00D668B2" w:rsidSect="00E7385E">
          <w:type w:val="continuous"/>
          <w:pgSz w:w="11906" w:h="16838"/>
          <w:pgMar w:top="1440" w:right="1800" w:bottom="1440" w:left="1800" w:header="708" w:footer="708" w:gutter="0"/>
          <w:pgNumType w:start="38"/>
          <w:cols w:num="2" w:space="709"/>
          <w:docGrid w:linePitch="360"/>
        </w:sectPr>
      </w:pPr>
    </w:p>
    <w:p w:rsidR="00BE10F7" w:rsidRDefault="00BE10F7" w:rsidP="00BE10F7">
      <w:pPr>
        <w:autoSpaceDE w:val="0"/>
        <w:autoSpaceDN w:val="0"/>
        <w:bidi w:val="0"/>
        <w:adjustRightInd w:val="0"/>
        <w:spacing w:after="0" w:line="360" w:lineRule="auto"/>
        <w:jc w:val="both"/>
        <w:rPr>
          <w:rFonts w:ascii="Times New Roman" w:hAnsi="Times New Roman" w:cs="Times New Roman"/>
          <w:sz w:val="24"/>
          <w:szCs w:val="24"/>
          <w:lang w:bidi="ar-IQ"/>
        </w:rPr>
      </w:pPr>
    </w:p>
    <w:p w:rsidR="00A052CB" w:rsidRPr="003358BE" w:rsidRDefault="005C39E3" w:rsidP="003358BE">
      <w:pPr>
        <w:autoSpaceDE w:val="0"/>
        <w:autoSpaceDN w:val="0"/>
        <w:bidi w:val="0"/>
        <w:adjustRightInd w:val="0"/>
        <w:spacing w:after="0" w:line="360" w:lineRule="auto"/>
        <w:jc w:val="both"/>
        <w:rPr>
          <w:rFonts w:ascii="Times New Roman" w:hAnsi="Times New Roman" w:cs="Times New Roman"/>
          <w:sz w:val="24"/>
          <w:szCs w:val="24"/>
          <w:rtl/>
          <w:lang w:bidi="ar-IQ"/>
        </w:rPr>
      </w:pPr>
      <w:r>
        <w:rPr>
          <w:rFonts w:asciiTheme="majorBidi" w:hAnsiTheme="majorBidi" w:cstheme="majorBidi"/>
          <w:b/>
          <w:bCs/>
          <w:sz w:val="24"/>
          <w:szCs w:val="24"/>
          <w:u w:val="single"/>
          <w:lang w:bidi="ar-IQ"/>
        </w:rPr>
        <w:t>Table 1</w:t>
      </w:r>
      <w:r w:rsidR="00A052CB" w:rsidRPr="005C39E3">
        <w:rPr>
          <w:rFonts w:asciiTheme="majorBidi" w:hAnsiTheme="majorBidi" w:cstheme="majorBidi"/>
          <w:sz w:val="24"/>
          <w:szCs w:val="24"/>
          <w:lang w:bidi="ar-IQ"/>
        </w:rPr>
        <w:t xml:space="preserve"> Mean value of prola</w:t>
      </w:r>
      <w:r w:rsidR="00AD765C" w:rsidRPr="005C39E3">
        <w:rPr>
          <w:rFonts w:asciiTheme="majorBidi" w:hAnsiTheme="majorBidi" w:cstheme="majorBidi"/>
          <w:sz w:val="24"/>
          <w:szCs w:val="24"/>
          <w:lang w:bidi="ar-IQ"/>
        </w:rPr>
        <w:t>ctin hormone level in CRF</w:t>
      </w:r>
      <w:r w:rsidR="00A052CB" w:rsidRPr="005C39E3">
        <w:rPr>
          <w:rFonts w:asciiTheme="majorBidi" w:hAnsiTheme="majorBidi" w:cstheme="majorBidi"/>
          <w:sz w:val="24"/>
          <w:szCs w:val="24"/>
          <w:lang w:bidi="ar-IQ"/>
        </w:rPr>
        <w:t xml:space="preserve"> an</w:t>
      </w:r>
      <w:r w:rsidR="00AD765C" w:rsidRPr="005C39E3">
        <w:rPr>
          <w:rFonts w:asciiTheme="majorBidi" w:hAnsiTheme="majorBidi" w:cstheme="majorBidi"/>
          <w:sz w:val="24"/>
          <w:szCs w:val="24"/>
          <w:lang w:bidi="ar-IQ"/>
        </w:rPr>
        <w:t xml:space="preserve">d control group </w:t>
      </w:r>
      <w:r w:rsidR="00A052CB" w:rsidRPr="005C39E3">
        <w:rPr>
          <w:rFonts w:asciiTheme="majorBidi" w:hAnsiTheme="majorBidi" w:cstheme="majorBidi"/>
          <w:sz w:val="24"/>
          <w:szCs w:val="24"/>
          <w:lang w:bidi="ar-IQ"/>
        </w:rPr>
        <w:t>.</w:t>
      </w:r>
    </w:p>
    <w:tbl>
      <w:tblPr>
        <w:tblpPr w:leftFromText="180" w:rightFromText="180" w:vertAnchor="text" w:horzAnchor="margin" w:tblpXSpec="center" w:tblpY="177"/>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1051"/>
        <w:gridCol w:w="1327"/>
        <w:gridCol w:w="1497"/>
        <w:gridCol w:w="1393"/>
        <w:gridCol w:w="1315"/>
      </w:tblGrid>
      <w:tr w:rsidR="00D9248D" w:rsidRPr="00243520" w:rsidTr="00D9248D">
        <w:trPr>
          <w:trHeight w:val="625"/>
        </w:trPr>
        <w:tc>
          <w:tcPr>
            <w:tcW w:w="2123" w:type="dxa"/>
            <w:gridSpan w:val="2"/>
            <w:vMerge w:val="restart"/>
            <w:tcBorders>
              <w:top w:val="thinThickSmallGap" w:sz="24" w:space="0" w:color="auto"/>
              <w:left w:val="thinThickSmallGap" w:sz="24" w:space="0" w:color="auto"/>
              <w:right w:val="single" w:sz="4" w:space="0" w:color="auto"/>
            </w:tcBorders>
            <w:shd w:val="clear" w:color="auto" w:fill="D9D9D9" w:themeFill="background1" w:themeFillShade="D9"/>
          </w:tcPr>
          <w:p w:rsidR="00D9248D" w:rsidRPr="00243520" w:rsidRDefault="00D9248D" w:rsidP="00D9248D">
            <w:pPr>
              <w:spacing w:after="0" w:line="480" w:lineRule="auto"/>
              <w:jc w:val="center"/>
              <w:rPr>
                <w:rFonts w:ascii="Times New Roman" w:hAnsi="Times New Roman" w:cs="Times New Roman"/>
                <w:b/>
                <w:bCs/>
                <w:sz w:val="20"/>
                <w:szCs w:val="20"/>
                <w:rtl/>
                <w:lang w:bidi="ar-IQ"/>
              </w:rPr>
            </w:pPr>
            <w:r w:rsidRPr="00243520">
              <w:rPr>
                <w:rFonts w:ascii="Times New Roman" w:hAnsi="Times New Roman" w:cs="Times New Roman"/>
                <w:b/>
                <w:bCs/>
                <w:sz w:val="20"/>
                <w:szCs w:val="20"/>
                <w:lang w:bidi="ar-IQ"/>
              </w:rPr>
              <w:t>Hormone</w:t>
            </w:r>
          </w:p>
        </w:tc>
        <w:tc>
          <w:tcPr>
            <w:tcW w:w="4217" w:type="dxa"/>
            <w:gridSpan w:val="3"/>
            <w:tcBorders>
              <w:top w:val="thinThickSmallGap" w:sz="24" w:space="0" w:color="auto"/>
              <w:left w:val="single" w:sz="4" w:space="0" w:color="auto"/>
              <w:right w:val="single" w:sz="4" w:space="0" w:color="auto"/>
            </w:tcBorders>
            <w:shd w:val="clear" w:color="auto" w:fill="D9D9D9" w:themeFill="background1" w:themeFillShade="D9"/>
          </w:tcPr>
          <w:p w:rsidR="00D9248D" w:rsidRPr="00243520" w:rsidRDefault="00D9248D" w:rsidP="00D9248D">
            <w:pPr>
              <w:tabs>
                <w:tab w:val="left" w:pos="4245"/>
              </w:tabs>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Patients with CRF</w:t>
            </w:r>
          </w:p>
          <w:p w:rsidR="00D9248D" w:rsidRPr="00243520" w:rsidRDefault="00D9248D" w:rsidP="00D9248D">
            <w:pPr>
              <w:tabs>
                <w:tab w:val="left" w:pos="4245"/>
              </w:tabs>
              <w:spacing w:after="0" w:line="240" w:lineRule="auto"/>
              <w:jc w:val="center"/>
              <w:rPr>
                <w:rFonts w:ascii="Times New Roman" w:hAnsi="Times New Roman" w:cs="Times New Roman"/>
                <w:b/>
                <w:bCs/>
                <w:sz w:val="20"/>
                <w:szCs w:val="20"/>
                <w:rtl/>
                <w:lang w:bidi="ar-IQ"/>
              </w:rPr>
            </w:pPr>
            <w:r w:rsidRPr="00243520">
              <w:rPr>
                <w:rFonts w:ascii="Times New Roman" w:hAnsi="Times New Roman" w:cs="Times New Roman"/>
                <w:b/>
                <w:bCs/>
                <w:sz w:val="20"/>
                <w:szCs w:val="20"/>
              </w:rPr>
              <w:t>(duration of dialysis in months)</w:t>
            </w:r>
          </w:p>
        </w:tc>
        <w:tc>
          <w:tcPr>
            <w:tcW w:w="1315" w:type="dxa"/>
            <w:tcBorders>
              <w:top w:val="thinThickSmallGap" w:sz="24" w:space="0" w:color="auto"/>
              <w:left w:val="single" w:sz="4" w:space="0" w:color="auto"/>
              <w:right w:val="thinThickSmallGap" w:sz="24" w:space="0" w:color="auto"/>
            </w:tcBorders>
            <w:shd w:val="clear" w:color="auto" w:fill="D9D9D9" w:themeFill="background1" w:themeFillShade="D9"/>
          </w:tcPr>
          <w:p w:rsidR="00D9248D" w:rsidRPr="00243520" w:rsidRDefault="00D9248D" w:rsidP="00D9248D">
            <w:pPr>
              <w:spacing w:after="0" w:line="240" w:lineRule="auto"/>
              <w:jc w:val="center"/>
              <w:rPr>
                <w:rFonts w:ascii="Times New Roman" w:hAnsi="Times New Roman" w:cs="Times New Roman"/>
                <w:b/>
                <w:bCs/>
                <w:sz w:val="20"/>
                <w:szCs w:val="20"/>
                <w:lang w:bidi="ar-IQ"/>
              </w:rPr>
            </w:pPr>
            <w:r w:rsidRPr="00243520">
              <w:rPr>
                <w:rFonts w:ascii="Times New Roman" w:hAnsi="Times New Roman" w:cs="Times New Roman"/>
                <w:b/>
                <w:bCs/>
                <w:sz w:val="20"/>
                <w:szCs w:val="20"/>
                <w:lang w:bidi="ar-IQ"/>
              </w:rPr>
              <w:t>Healthy subjects</w:t>
            </w:r>
          </w:p>
        </w:tc>
      </w:tr>
      <w:tr w:rsidR="00D9248D" w:rsidRPr="00243520" w:rsidTr="00D9248D">
        <w:trPr>
          <w:trHeight w:val="701"/>
        </w:trPr>
        <w:tc>
          <w:tcPr>
            <w:tcW w:w="2123" w:type="dxa"/>
            <w:gridSpan w:val="2"/>
            <w:vMerge/>
            <w:tcBorders>
              <w:left w:val="thinThickSmallGap" w:sz="24" w:space="0" w:color="auto"/>
              <w:right w:val="single" w:sz="4" w:space="0" w:color="auto"/>
            </w:tcBorders>
            <w:shd w:val="clear" w:color="auto" w:fill="D9D9D9" w:themeFill="background1" w:themeFillShade="D9"/>
          </w:tcPr>
          <w:p w:rsidR="00D9248D" w:rsidRPr="00243520" w:rsidRDefault="00D9248D" w:rsidP="00D9248D">
            <w:pPr>
              <w:spacing w:after="0"/>
              <w:ind w:left="694"/>
              <w:jc w:val="right"/>
              <w:rPr>
                <w:rFonts w:ascii="Times New Roman" w:hAnsi="Times New Roman" w:cs="Times New Roman"/>
                <w:b/>
                <w:bCs/>
                <w:sz w:val="20"/>
                <w:szCs w:val="20"/>
                <w:rtl/>
              </w:rPr>
            </w:pPr>
          </w:p>
        </w:tc>
        <w:tc>
          <w:tcPr>
            <w:tcW w:w="1327" w:type="dxa"/>
            <w:tcBorders>
              <w:top w:val="single" w:sz="4" w:space="0" w:color="auto"/>
              <w:left w:val="single" w:sz="4" w:space="0" w:color="auto"/>
              <w:right w:val="single" w:sz="4" w:space="0" w:color="auto"/>
            </w:tcBorders>
            <w:shd w:val="clear" w:color="auto" w:fill="D9D9D9" w:themeFill="background1" w:themeFillShade="D9"/>
          </w:tcPr>
          <w:p w:rsidR="00D9248D" w:rsidRPr="00243520" w:rsidRDefault="00D9248D" w:rsidP="00D9248D">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&lt;18 months (group1)</w:t>
            </w:r>
          </w:p>
        </w:tc>
        <w:tc>
          <w:tcPr>
            <w:tcW w:w="1497" w:type="dxa"/>
            <w:tcBorders>
              <w:top w:val="single" w:sz="4" w:space="0" w:color="auto"/>
              <w:left w:val="single" w:sz="4" w:space="0" w:color="auto"/>
              <w:right w:val="single" w:sz="4" w:space="0" w:color="auto"/>
            </w:tcBorders>
            <w:shd w:val="clear" w:color="auto" w:fill="D9D9D9" w:themeFill="background1" w:themeFillShade="D9"/>
          </w:tcPr>
          <w:p w:rsidR="00D9248D" w:rsidRPr="00243520" w:rsidRDefault="00D9248D" w:rsidP="00D9248D">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18- 36 months (group2)</w:t>
            </w:r>
          </w:p>
        </w:tc>
        <w:tc>
          <w:tcPr>
            <w:tcW w:w="1393" w:type="dxa"/>
            <w:tcBorders>
              <w:top w:val="single" w:sz="4" w:space="0" w:color="auto"/>
              <w:left w:val="single" w:sz="4" w:space="0" w:color="auto"/>
              <w:right w:val="single" w:sz="4" w:space="0" w:color="auto"/>
            </w:tcBorders>
            <w:shd w:val="clear" w:color="auto" w:fill="D9D9D9" w:themeFill="background1" w:themeFillShade="D9"/>
          </w:tcPr>
          <w:p w:rsidR="00D9248D" w:rsidRPr="00243520" w:rsidRDefault="00D9248D" w:rsidP="00D9248D">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36-54 months (group3)</w:t>
            </w:r>
          </w:p>
        </w:tc>
        <w:tc>
          <w:tcPr>
            <w:tcW w:w="1315" w:type="dxa"/>
            <w:tcBorders>
              <w:top w:val="single" w:sz="4" w:space="0" w:color="auto"/>
              <w:left w:val="single" w:sz="4" w:space="0" w:color="auto"/>
              <w:right w:val="thinThickSmallGap" w:sz="24" w:space="0" w:color="auto"/>
            </w:tcBorders>
            <w:shd w:val="clear" w:color="auto" w:fill="D9D9D9" w:themeFill="background1" w:themeFillShade="D9"/>
          </w:tcPr>
          <w:p w:rsidR="00D9248D" w:rsidRPr="00243520" w:rsidRDefault="00D9248D" w:rsidP="00D9248D">
            <w:pPr>
              <w:spacing w:after="0" w:line="240" w:lineRule="auto"/>
              <w:jc w:val="center"/>
              <w:rPr>
                <w:rFonts w:ascii="Times New Roman" w:hAnsi="Times New Roman" w:cs="Times New Roman"/>
                <w:b/>
                <w:bCs/>
                <w:sz w:val="20"/>
                <w:szCs w:val="20"/>
                <w:lang w:bidi="ar-IQ"/>
              </w:rPr>
            </w:pPr>
            <w:r w:rsidRPr="00243520">
              <w:rPr>
                <w:rFonts w:ascii="Times New Roman" w:hAnsi="Times New Roman" w:cs="Times New Roman"/>
                <w:b/>
                <w:bCs/>
                <w:sz w:val="20"/>
                <w:szCs w:val="20"/>
                <w:lang w:bidi="ar-IQ"/>
              </w:rPr>
              <w:t>Control (group4)</w:t>
            </w:r>
          </w:p>
        </w:tc>
      </w:tr>
      <w:tr w:rsidR="00D9248D" w:rsidRPr="00243520" w:rsidTr="00D924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96"/>
        </w:trPr>
        <w:tc>
          <w:tcPr>
            <w:tcW w:w="1072" w:type="dxa"/>
            <w:vMerge w:val="restart"/>
            <w:tcBorders>
              <w:top w:val="single" w:sz="4" w:space="0" w:color="auto"/>
              <w:left w:val="thinThickSmallGap" w:sz="24" w:space="0" w:color="auto"/>
              <w:right w:val="single" w:sz="4" w:space="0" w:color="auto"/>
            </w:tcBorders>
            <w:hideMark/>
          </w:tcPr>
          <w:p w:rsidR="00D9248D" w:rsidRPr="00243520" w:rsidRDefault="00D9248D" w:rsidP="00D9248D">
            <w:pPr>
              <w:bidi w:val="0"/>
              <w:spacing w:after="0" w:line="240" w:lineRule="auto"/>
              <w:rPr>
                <w:rFonts w:ascii="Times New Roman" w:hAnsi="Times New Roman" w:cs="Times New Roman"/>
                <w:b/>
                <w:bCs/>
                <w:sz w:val="20"/>
                <w:szCs w:val="20"/>
              </w:rPr>
            </w:pPr>
            <w:r w:rsidRPr="00243520">
              <w:rPr>
                <w:rFonts w:ascii="Times New Roman" w:hAnsi="Times New Roman" w:cs="Times New Roman"/>
                <w:b/>
                <w:bCs/>
                <w:sz w:val="20"/>
                <w:szCs w:val="20"/>
              </w:rPr>
              <w:t xml:space="preserve">                       </w:t>
            </w:r>
          </w:p>
          <w:p w:rsidR="00D9248D" w:rsidRPr="00243520" w:rsidRDefault="00D9248D" w:rsidP="00D9248D">
            <w:pPr>
              <w:bidi w:val="0"/>
              <w:spacing w:after="0" w:line="240" w:lineRule="auto"/>
              <w:rPr>
                <w:rFonts w:ascii="Times New Roman" w:hAnsi="Times New Roman" w:cs="Times New Roman"/>
                <w:b/>
                <w:bCs/>
                <w:sz w:val="20"/>
                <w:szCs w:val="20"/>
              </w:rPr>
            </w:pPr>
          </w:p>
          <w:p w:rsidR="00D9248D" w:rsidRPr="00243520" w:rsidRDefault="00D9248D" w:rsidP="00D9248D">
            <w:pPr>
              <w:bidi w:val="0"/>
              <w:spacing w:after="0" w:line="240" w:lineRule="auto"/>
              <w:rPr>
                <w:rFonts w:ascii="Times New Roman" w:hAnsi="Times New Roman" w:cs="Times New Roman"/>
                <w:b/>
                <w:bCs/>
                <w:sz w:val="20"/>
                <w:szCs w:val="20"/>
              </w:rPr>
            </w:pPr>
            <w:r w:rsidRPr="00243520">
              <w:rPr>
                <w:rFonts w:ascii="Times New Roman" w:hAnsi="Times New Roman" w:cs="Times New Roman"/>
                <w:b/>
                <w:bCs/>
                <w:sz w:val="20"/>
                <w:szCs w:val="20"/>
              </w:rPr>
              <w:t xml:space="preserve">prolactin </w:t>
            </w:r>
            <w:r w:rsidRPr="00243520">
              <w:rPr>
                <w:rFonts w:asciiTheme="majorBidi" w:hAnsiTheme="majorBidi" w:cstheme="majorBidi"/>
                <w:sz w:val="20"/>
                <w:szCs w:val="20"/>
                <w:lang w:bidi="ar-IQ"/>
              </w:rPr>
              <w:t>(ng/ml)</w:t>
            </w:r>
          </w:p>
        </w:tc>
        <w:tc>
          <w:tcPr>
            <w:tcW w:w="1051" w:type="dxa"/>
            <w:tcBorders>
              <w:top w:val="single" w:sz="4" w:space="0" w:color="auto"/>
              <w:left w:val="single" w:sz="4" w:space="0" w:color="auto"/>
              <w:bottom w:val="single" w:sz="4" w:space="0" w:color="auto"/>
              <w:right w:val="single" w:sz="4" w:space="0" w:color="auto"/>
            </w:tcBorders>
          </w:tcPr>
          <w:p w:rsidR="00D9248D" w:rsidRPr="00243520" w:rsidRDefault="00D9248D" w:rsidP="00D9248D">
            <w:pPr>
              <w:bidi w:val="0"/>
              <w:spacing w:before="240" w:after="0"/>
              <w:jc w:val="center"/>
              <w:rPr>
                <w:rFonts w:ascii="Times New Roman" w:hAnsi="Times New Roman" w:cs="Times New Roman"/>
                <w:b/>
                <w:bCs/>
                <w:sz w:val="20"/>
                <w:szCs w:val="20"/>
              </w:rPr>
            </w:pPr>
            <w:r w:rsidRPr="00243520">
              <w:rPr>
                <w:rFonts w:ascii="Times New Roman" w:hAnsi="Times New Roman" w:cs="Times New Roman"/>
                <w:b/>
                <w:bCs/>
                <w:sz w:val="20"/>
                <w:szCs w:val="20"/>
              </w:rPr>
              <w:t>Male</w:t>
            </w:r>
          </w:p>
        </w:tc>
        <w:tc>
          <w:tcPr>
            <w:tcW w:w="1327" w:type="dxa"/>
            <w:tcBorders>
              <w:top w:val="single" w:sz="4" w:space="0" w:color="auto"/>
              <w:left w:val="single" w:sz="4" w:space="0" w:color="auto"/>
              <w:bottom w:val="single" w:sz="4" w:space="0" w:color="auto"/>
              <w:right w:val="single" w:sz="4" w:space="0" w:color="000000"/>
            </w:tcBorders>
            <w:hideMark/>
          </w:tcPr>
          <w:p w:rsidR="00D9248D" w:rsidRPr="00243520" w:rsidRDefault="00D9248D" w:rsidP="00D9248D">
            <w:pPr>
              <w:spacing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rPr>
              <w:t>40.13±28.64</w:t>
            </w:r>
          </w:p>
          <w:p w:rsidR="00D9248D" w:rsidRPr="00243520" w:rsidRDefault="00D9248D" w:rsidP="00D9248D">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 xml:space="preserve">            (A)       </w:t>
            </w:r>
          </w:p>
        </w:tc>
        <w:tc>
          <w:tcPr>
            <w:tcW w:w="1497" w:type="dxa"/>
            <w:tcBorders>
              <w:top w:val="single" w:sz="4" w:space="0" w:color="auto"/>
              <w:left w:val="single" w:sz="4" w:space="0" w:color="000000"/>
              <w:bottom w:val="single" w:sz="4" w:space="0" w:color="auto"/>
              <w:right w:val="single" w:sz="4" w:space="0" w:color="auto"/>
            </w:tcBorders>
            <w:hideMark/>
          </w:tcPr>
          <w:p w:rsidR="00D9248D" w:rsidRPr="00243520" w:rsidRDefault="00D9248D" w:rsidP="00D9248D">
            <w:pPr>
              <w:spacing w:after="0" w:line="240" w:lineRule="auto"/>
              <w:rPr>
                <w:rFonts w:asciiTheme="majorBidi" w:hAnsiTheme="majorBidi" w:cstheme="majorBidi"/>
                <w:sz w:val="20"/>
                <w:szCs w:val="20"/>
                <w:rtl/>
                <w:lang w:bidi="ar-IQ"/>
              </w:rPr>
            </w:pPr>
            <w:r w:rsidRPr="00243520">
              <w:rPr>
                <w:rFonts w:asciiTheme="majorBidi" w:hAnsiTheme="majorBidi" w:cstheme="majorBidi"/>
                <w:sz w:val="20"/>
                <w:szCs w:val="20"/>
              </w:rPr>
              <w:t>37.44±22.34</w:t>
            </w:r>
          </w:p>
          <w:p w:rsidR="00D9248D" w:rsidRPr="00243520" w:rsidRDefault="00D9248D" w:rsidP="00D9248D">
            <w:pPr>
              <w:spacing w:after="0" w:line="240" w:lineRule="auto"/>
              <w:rPr>
                <w:rFonts w:asciiTheme="majorBidi" w:hAnsiTheme="majorBidi" w:cstheme="majorBidi"/>
                <w:sz w:val="20"/>
                <w:szCs w:val="20"/>
                <w:rtl/>
                <w:lang w:bidi="ar-IQ"/>
              </w:rPr>
            </w:pPr>
            <w:r w:rsidRPr="00243520">
              <w:rPr>
                <w:rFonts w:asciiTheme="majorBidi" w:hAnsiTheme="majorBidi" w:cstheme="majorBidi"/>
                <w:sz w:val="20"/>
                <w:szCs w:val="20"/>
                <w:lang w:bidi="ar-IQ"/>
              </w:rPr>
              <w:t xml:space="preserve"> (A)        </w:t>
            </w:r>
          </w:p>
        </w:tc>
        <w:tc>
          <w:tcPr>
            <w:tcW w:w="1393" w:type="dxa"/>
            <w:tcBorders>
              <w:top w:val="single" w:sz="4" w:space="0" w:color="auto"/>
              <w:left w:val="single" w:sz="4" w:space="0" w:color="auto"/>
              <w:bottom w:val="single" w:sz="4" w:space="0" w:color="auto"/>
              <w:right w:val="single" w:sz="4" w:space="0" w:color="auto"/>
            </w:tcBorders>
            <w:hideMark/>
          </w:tcPr>
          <w:p w:rsidR="00D9248D" w:rsidRPr="00243520" w:rsidRDefault="00D9248D" w:rsidP="00D9248D">
            <w:pPr>
              <w:spacing w:after="0" w:line="240" w:lineRule="auto"/>
              <w:jc w:val="center"/>
              <w:rPr>
                <w:rFonts w:asciiTheme="majorBidi" w:hAnsiTheme="majorBidi" w:cstheme="majorBidi"/>
                <w:sz w:val="20"/>
                <w:szCs w:val="20"/>
              </w:rPr>
            </w:pPr>
            <w:r w:rsidRPr="00243520">
              <w:rPr>
                <w:rFonts w:asciiTheme="majorBidi" w:hAnsiTheme="majorBidi" w:cstheme="majorBidi"/>
                <w:sz w:val="20"/>
                <w:szCs w:val="20"/>
              </w:rPr>
              <w:t>50.07±14.5</w:t>
            </w:r>
          </w:p>
          <w:p w:rsidR="00D9248D" w:rsidRPr="00243520" w:rsidRDefault="00D9248D" w:rsidP="00D9248D">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rPr>
              <w:t>(A)</w:t>
            </w:r>
          </w:p>
        </w:tc>
        <w:tc>
          <w:tcPr>
            <w:tcW w:w="1315" w:type="dxa"/>
            <w:tcBorders>
              <w:top w:val="single" w:sz="4" w:space="0" w:color="auto"/>
              <w:left w:val="single" w:sz="4" w:space="0" w:color="auto"/>
              <w:bottom w:val="single" w:sz="4" w:space="0" w:color="auto"/>
              <w:right w:val="thickThinSmallGap" w:sz="24" w:space="0" w:color="auto"/>
            </w:tcBorders>
            <w:hideMark/>
          </w:tcPr>
          <w:p w:rsidR="00D9248D" w:rsidRPr="00243520" w:rsidRDefault="00D9248D" w:rsidP="00D9248D">
            <w:pPr>
              <w:spacing w:after="0" w:line="240" w:lineRule="auto"/>
              <w:jc w:val="center"/>
              <w:rPr>
                <w:rFonts w:asciiTheme="majorBidi" w:hAnsiTheme="majorBidi" w:cstheme="majorBidi"/>
                <w:sz w:val="20"/>
                <w:szCs w:val="20"/>
              </w:rPr>
            </w:pPr>
            <w:r w:rsidRPr="00243520">
              <w:rPr>
                <w:rFonts w:asciiTheme="majorBidi" w:hAnsiTheme="majorBidi" w:cstheme="majorBidi"/>
                <w:sz w:val="20"/>
                <w:szCs w:val="20"/>
              </w:rPr>
              <w:t>12.3±5.1</w:t>
            </w:r>
          </w:p>
          <w:p w:rsidR="00D9248D" w:rsidRPr="00243520" w:rsidRDefault="00D9248D" w:rsidP="00D9248D">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rPr>
              <w:t>(B)</w:t>
            </w:r>
          </w:p>
        </w:tc>
      </w:tr>
      <w:tr w:rsidR="00D9248D" w:rsidRPr="00243520" w:rsidTr="00D924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82"/>
        </w:trPr>
        <w:tc>
          <w:tcPr>
            <w:tcW w:w="1072" w:type="dxa"/>
            <w:vMerge/>
            <w:tcBorders>
              <w:left w:val="thinThickSmallGap" w:sz="24" w:space="0" w:color="auto"/>
              <w:bottom w:val="thickThinSmallGap" w:sz="24" w:space="0" w:color="auto"/>
              <w:right w:val="single" w:sz="4" w:space="0" w:color="auto"/>
            </w:tcBorders>
            <w:hideMark/>
          </w:tcPr>
          <w:p w:rsidR="00D9248D" w:rsidRPr="00243520" w:rsidRDefault="00D9248D" w:rsidP="00D9248D">
            <w:pPr>
              <w:bidi w:val="0"/>
              <w:spacing w:before="240" w:after="0" w:line="240" w:lineRule="auto"/>
              <w:rPr>
                <w:rFonts w:ascii="Times New Roman" w:hAnsi="Times New Roman" w:cs="Times New Roman"/>
                <w:b/>
                <w:bCs/>
                <w:sz w:val="20"/>
                <w:szCs w:val="20"/>
              </w:rPr>
            </w:pPr>
          </w:p>
        </w:tc>
        <w:tc>
          <w:tcPr>
            <w:tcW w:w="1051" w:type="dxa"/>
            <w:tcBorders>
              <w:top w:val="single" w:sz="4" w:space="0" w:color="auto"/>
              <w:left w:val="single" w:sz="4" w:space="0" w:color="auto"/>
              <w:bottom w:val="thickThinSmallGap" w:sz="24" w:space="0" w:color="auto"/>
              <w:right w:val="single" w:sz="4" w:space="0" w:color="auto"/>
            </w:tcBorders>
          </w:tcPr>
          <w:p w:rsidR="00D9248D" w:rsidRPr="00243520" w:rsidRDefault="00D9248D" w:rsidP="00D9248D">
            <w:pPr>
              <w:bidi w:val="0"/>
              <w:spacing w:before="240" w:after="0"/>
              <w:jc w:val="center"/>
              <w:rPr>
                <w:rFonts w:ascii="Times New Roman" w:hAnsi="Times New Roman" w:cs="Times New Roman"/>
                <w:b/>
                <w:bCs/>
                <w:sz w:val="20"/>
                <w:szCs w:val="20"/>
              </w:rPr>
            </w:pPr>
            <w:r w:rsidRPr="00243520">
              <w:rPr>
                <w:rFonts w:ascii="Times New Roman" w:hAnsi="Times New Roman" w:cs="Times New Roman"/>
                <w:b/>
                <w:bCs/>
                <w:sz w:val="20"/>
                <w:szCs w:val="20"/>
              </w:rPr>
              <w:t>Female</w:t>
            </w:r>
          </w:p>
        </w:tc>
        <w:tc>
          <w:tcPr>
            <w:tcW w:w="1327" w:type="dxa"/>
            <w:tcBorders>
              <w:top w:val="single" w:sz="4" w:space="0" w:color="auto"/>
              <w:left w:val="single" w:sz="4" w:space="0" w:color="auto"/>
              <w:bottom w:val="thickThinSmallGap" w:sz="24" w:space="0" w:color="auto"/>
              <w:right w:val="single" w:sz="4" w:space="0" w:color="000000"/>
            </w:tcBorders>
            <w:hideMark/>
          </w:tcPr>
          <w:p w:rsidR="00D9248D" w:rsidRPr="00243520" w:rsidRDefault="00D9248D" w:rsidP="00D9248D">
            <w:pPr>
              <w:spacing w:after="0" w:line="240" w:lineRule="auto"/>
              <w:jc w:val="center"/>
              <w:rPr>
                <w:rFonts w:asciiTheme="majorBidi" w:hAnsiTheme="majorBidi" w:cstheme="majorBidi"/>
                <w:sz w:val="20"/>
                <w:szCs w:val="20"/>
              </w:rPr>
            </w:pPr>
            <w:r w:rsidRPr="00243520">
              <w:rPr>
                <w:rFonts w:asciiTheme="majorBidi" w:hAnsiTheme="majorBidi" w:cstheme="majorBidi"/>
                <w:sz w:val="20"/>
                <w:szCs w:val="20"/>
              </w:rPr>
              <w:t>55.83±30.34</w:t>
            </w:r>
          </w:p>
          <w:p w:rsidR="00D9248D" w:rsidRPr="00243520" w:rsidRDefault="00D9248D" w:rsidP="00D9248D">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rPr>
              <w:t>(A)</w:t>
            </w:r>
          </w:p>
        </w:tc>
        <w:tc>
          <w:tcPr>
            <w:tcW w:w="1497" w:type="dxa"/>
            <w:tcBorders>
              <w:top w:val="single" w:sz="4" w:space="0" w:color="auto"/>
              <w:left w:val="single" w:sz="4" w:space="0" w:color="000000"/>
              <w:bottom w:val="thickThinSmallGap" w:sz="24" w:space="0" w:color="auto"/>
              <w:right w:val="single" w:sz="4" w:space="0" w:color="auto"/>
            </w:tcBorders>
            <w:hideMark/>
          </w:tcPr>
          <w:p w:rsidR="00D9248D" w:rsidRPr="00243520" w:rsidRDefault="00D9248D" w:rsidP="00D9248D">
            <w:pPr>
              <w:spacing w:after="0" w:line="240" w:lineRule="auto"/>
              <w:jc w:val="center"/>
              <w:rPr>
                <w:rFonts w:asciiTheme="majorBidi" w:hAnsiTheme="majorBidi" w:cstheme="majorBidi"/>
                <w:sz w:val="20"/>
                <w:szCs w:val="20"/>
              </w:rPr>
            </w:pPr>
            <w:r w:rsidRPr="00243520">
              <w:rPr>
                <w:rFonts w:asciiTheme="majorBidi" w:hAnsiTheme="majorBidi" w:cstheme="majorBidi"/>
                <w:sz w:val="20"/>
                <w:szCs w:val="20"/>
              </w:rPr>
              <w:t>45.62±20.72</w:t>
            </w:r>
          </w:p>
          <w:p w:rsidR="00D9248D" w:rsidRPr="00243520" w:rsidRDefault="00D9248D" w:rsidP="00D9248D">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rPr>
              <w:t>(AB)</w:t>
            </w:r>
          </w:p>
        </w:tc>
        <w:tc>
          <w:tcPr>
            <w:tcW w:w="1393" w:type="dxa"/>
            <w:tcBorders>
              <w:top w:val="single" w:sz="4" w:space="0" w:color="auto"/>
              <w:left w:val="single" w:sz="4" w:space="0" w:color="auto"/>
              <w:bottom w:val="thickThinSmallGap" w:sz="24" w:space="0" w:color="auto"/>
              <w:right w:val="single" w:sz="4" w:space="0" w:color="auto"/>
            </w:tcBorders>
            <w:hideMark/>
          </w:tcPr>
          <w:p w:rsidR="00D9248D" w:rsidRPr="00243520" w:rsidRDefault="00D9248D" w:rsidP="00D9248D">
            <w:pPr>
              <w:spacing w:after="0" w:line="240" w:lineRule="auto"/>
              <w:jc w:val="center"/>
              <w:rPr>
                <w:rFonts w:asciiTheme="majorBidi" w:hAnsiTheme="majorBidi" w:cstheme="majorBidi"/>
                <w:sz w:val="20"/>
                <w:szCs w:val="20"/>
              </w:rPr>
            </w:pPr>
            <w:r w:rsidRPr="00243520">
              <w:rPr>
                <w:rFonts w:asciiTheme="majorBidi" w:hAnsiTheme="majorBidi" w:cstheme="majorBidi"/>
                <w:sz w:val="20"/>
                <w:szCs w:val="20"/>
              </w:rPr>
              <w:t>50.98±14.41</w:t>
            </w:r>
          </w:p>
          <w:p w:rsidR="00D9248D" w:rsidRPr="00243520" w:rsidRDefault="00D9248D" w:rsidP="00D9248D">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rPr>
              <w:t>(C)</w:t>
            </w:r>
          </w:p>
        </w:tc>
        <w:tc>
          <w:tcPr>
            <w:tcW w:w="1315" w:type="dxa"/>
            <w:tcBorders>
              <w:top w:val="single" w:sz="4" w:space="0" w:color="auto"/>
              <w:left w:val="single" w:sz="4" w:space="0" w:color="auto"/>
              <w:bottom w:val="thickThinSmallGap" w:sz="24" w:space="0" w:color="auto"/>
              <w:right w:val="thickThinSmallGap" w:sz="24" w:space="0" w:color="auto"/>
            </w:tcBorders>
            <w:hideMark/>
          </w:tcPr>
          <w:p w:rsidR="00D9248D" w:rsidRPr="00243520" w:rsidRDefault="00D9248D" w:rsidP="00D9248D">
            <w:pPr>
              <w:spacing w:after="0" w:line="240" w:lineRule="auto"/>
              <w:jc w:val="center"/>
              <w:rPr>
                <w:rFonts w:asciiTheme="majorBidi" w:hAnsiTheme="majorBidi" w:cstheme="majorBidi"/>
                <w:sz w:val="20"/>
                <w:szCs w:val="20"/>
              </w:rPr>
            </w:pPr>
            <w:r w:rsidRPr="00243520">
              <w:rPr>
                <w:rFonts w:asciiTheme="majorBidi" w:hAnsiTheme="majorBidi" w:cstheme="majorBidi"/>
                <w:sz w:val="20"/>
                <w:szCs w:val="20"/>
              </w:rPr>
              <w:t>15.81± 6.8</w:t>
            </w:r>
          </w:p>
          <w:p w:rsidR="00D9248D" w:rsidRPr="00243520" w:rsidRDefault="00D9248D" w:rsidP="00D9248D">
            <w:pPr>
              <w:tabs>
                <w:tab w:val="left" w:pos="1361"/>
              </w:tabs>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rPr>
              <w:t>(D)</w:t>
            </w:r>
          </w:p>
        </w:tc>
      </w:tr>
    </w:tbl>
    <w:p w:rsidR="001237A1" w:rsidRDefault="001237A1" w:rsidP="001237A1">
      <w:pPr>
        <w:autoSpaceDE w:val="0"/>
        <w:autoSpaceDN w:val="0"/>
        <w:bidi w:val="0"/>
        <w:adjustRightInd w:val="0"/>
        <w:spacing w:after="0" w:line="360" w:lineRule="auto"/>
        <w:jc w:val="both"/>
        <w:rPr>
          <w:rFonts w:ascii="Times New Roman" w:hAnsi="Times New Roman" w:cs="Times New Roman"/>
          <w:sz w:val="24"/>
          <w:szCs w:val="24"/>
          <w:lang w:bidi="ar-IQ"/>
        </w:rPr>
      </w:pPr>
    </w:p>
    <w:p w:rsidR="006E2FD3" w:rsidRDefault="006E2FD3" w:rsidP="006E2FD3">
      <w:pPr>
        <w:bidi w:val="0"/>
        <w:spacing w:line="360" w:lineRule="auto"/>
        <w:ind w:right="-192"/>
        <w:rPr>
          <w:rFonts w:ascii="Times New Roman" w:hAnsi="Times New Roman" w:cs="Times New Roman"/>
          <w:b/>
          <w:bCs/>
          <w:sz w:val="24"/>
          <w:szCs w:val="24"/>
        </w:rPr>
      </w:pPr>
      <w:r w:rsidRPr="005C39E3">
        <w:rPr>
          <w:rFonts w:ascii="Times New Roman" w:hAnsi="Times New Roman" w:cs="Times New Roman"/>
          <w:b/>
          <w:bCs/>
          <w:sz w:val="24"/>
          <w:szCs w:val="24"/>
          <w:u w:val="single"/>
        </w:rPr>
        <w:t>Table 2</w:t>
      </w:r>
      <w:r w:rsidRPr="00B034CB">
        <w:rPr>
          <w:rFonts w:ascii="Times New Roman" w:hAnsi="Times New Roman" w:cs="Times New Roman"/>
          <w:b/>
          <w:bCs/>
          <w:sz w:val="24"/>
          <w:szCs w:val="24"/>
        </w:rPr>
        <w:t xml:space="preserve"> </w:t>
      </w:r>
      <w:r w:rsidRPr="005C39E3">
        <w:rPr>
          <w:rFonts w:ascii="Times New Roman" w:hAnsi="Times New Roman" w:cs="Times New Roman"/>
          <w:sz w:val="24"/>
          <w:szCs w:val="24"/>
        </w:rPr>
        <w:t>Mean values of</w:t>
      </w:r>
      <w:r w:rsidRPr="005C39E3">
        <w:rPr>
          <w:rFonts w:asciiTheme="majorBidi" w:hAnsiTheme="majorBidi" w:cstheme="majorBidi"/>
          <w:sz w:val="24"/>
          <w:szCs w:val="24"/>
          <w:lang w:bidi="ar-IQ"/>
        </w:rPr>
        <w:t xml:space="preserve"> Follicle stimulating hormone </w:t>
      </w:r>
      <w:r w:rsidRPr="005C39E3">
        <w:rPr>
          <w:rFonts w:ascii="Times New Roman" w:hAnsi="Times New Roman" w:cs="Times New Roman"/>
          <w:sz w:val="24"/>
          <w:szCs w:val="24"/>
        </w:rPr>
        <w:t>in CRF and control group</w:t>
      </w:r>
      <w:r>
        <w:rPr>
          <w:rFonts w:ascii="Times New Roman" w:hAnsi="Times New Roman" w:cs="Times New Roman"/>
          <w:b/>
          <w:bCs/>
          <w:sz w:val="24"/>
          <w:szCs w:val="24"/>
        </w:rPr>
        <w:t xml:space="preserve">  </w:t>
      </w:r>
    </w:p>
    <w:tbl>
      <w:tblPr>
        <w:tblpPr w:leftFromText="180" w:rightFromText="180" w:vertAnchor="text" w:horzAnchor="margin" w:tblpXSpec="center" w:tblpY="259"/>
        <w:tblW w:w="7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
        <w:gridCol w:w="970"/>
        <w:gridCol w:w="1335"/>
        <w:gridCol w:w="1218"/>
        <w:gridCol w:w="1335"/>
        <w:gridCol w:w="1273"/>
      </w:tblGrid>
      <w:tr w:rsidR="006E2FD3" w:rsidRPr="00243520" w:rsidTr="006E2FD3">
        <w:trPr>
          <w:trHeight w:val="474"/>
        </w:trPr>
        <w:tc>
          <w:tcPr>
            <w:tcW w:w="1953" w:type="dxa"/>
            <w:gridSpan w:val="2"/>
            <w:vMerge w:val="restart"/>
            <w:tcBorders>
              <w:top w:val="thinThickSmallGap" w:sz="24" w:space="0" w:color="auto"/>
              <w:left w:val="thinThickSmallGap" w:sz="24" w:space="0" w:color="auto"/>
              <w:right w:val="single" w:sz="4" w:space="0" w:color="auto"/>
            </w:tcBorders>
            <w:shd w:val="clear" w:color="auto" w:fill="D9D9D9" w:themeFill="background1" w:themeFillShade="D9"/>
          </w:tcPr>
          <w:p w:rsidR="006E2FD3" w:rsidRPr="00243520" w:rsidRDefault="006E2FD3" w:rsidP="006E2FD3">
            <w:pPr>
              <w:jc w:val="center"/>
              <w:rPr>
                <w:rFonts w:ascii="Times New Roman" w:hAnsi="Times New Roman" w:cs="Times New Roman"/>
                <w:b/>
                <w:bCs/>
                <w:sz w:val="20"/>
                <w:szCs w:val="20"/>
                <w:lang w:bidi="ar-IQ"/>
              </w:rPr>
            </w:pPr>
          </w:p>
          <w:p w:rsidR="006E2FD3" w:rsidRPr="00243520" w:rsidRDefault="006E2FD3" w:rsidP="006E2FD3">
            <w:pPr>
              <w:jc w:val="center"/>
              <w:rPr>
                <w:rFonts w:ascii="Times New Roman" w:hAnsi="Times New Roman" w:cs="Times New Roman"/>
                <w:b/>
                <w:bCs/>
                <w:sz w:val="20"/>
                <w:szCs w:val="20"/>
                <w:lang w:bidi="ar-IQ"/>
              </w:rPr>
            </w:pPr>
            <w:r w:rsidRPr="00243520">
              <w:rPr>
                <w:rFonts w:ascii="Times New Roman" w:hAnsi="Times New Roman" w:cs="Times New Roman"/>
                <w:b/>
                <w:bCs/>
                <w:sz w:val="20"/>
                <w:szCs w:val="20"/>
                <w:lang w:bidi="ar-IQ"/>
              </w:rPr>
              <w:t>Hormone</w:t>
            </w:r>
          </w:p>
        </w:tc>
        <w:tc>
          <w:tcPr>
            <w:tcW w:w="3888" w:type="dxa"/>
            <w:gridSpan w:val="3"/>
            <w:tcBorders>
              <w:top w:val="thinThickSmallGap" w:sz="24" w:space="0" w:color="auto"/>
              <w:left w:val="single" w:sz="4" w:space="0" w:color="auto"/>
              <w:right w:val="single" w:sz="4" w:space="0" w:color="auto"/>
            </w:tcBorders>
            <w:shd w:val="clear" w:color="auto" w:fill="D9D9D9" w:themeFill="background1" w:themeFillShade="D9"/>
          </w:tcPr>
          <w:p w:rsidR="006E2FD3" w:rsidRPr="00243520" w:rsidRDefault="006E2FD3" w:rsidP="006E2FD3">
            <w:pPr>
              <w:tabs>
                <w:tab w:val="left" w:pos="4245"/>
              </w:tabs>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Patients with CRF</w:t>
            </w:r>
          </w:p>
          <w:p w:rsidR="006E2FD3" w:rsidRPr="00243520" w:rsidRDefault="006E2FD3" w:rsidP="006E2FD3">
            <w:pPr>
              <w:tabs>
                <w:tab w:val="left" w:pos="4245"/>
              </w:tabs>
              <w:spacing w:after="0" w:line="240" w:lineRule="auto"/>
              <w:jc w:val="center"/>
              <w:rPr>
                <w:rFonts w:ascii="Times New Roman" w:hAnsi="Times New Roman" w:cs="Times New Roman"/>
                <w:b/>
                <w:bCs/>
                <w:sz w:val="20"/>
                <w:szCs w:val="20"/>
                <w:rtl/>
                <w:lang w:bidi="ar-IQ"/>
              </w:rPr>
            </w:pPr>
            <w:r w:rsidRPr="00243520">
              <w:rPr>
                <w:rFonts w:ascii="Times New Roman" w:hAnsi="Times New Roman" w:cs="Times New Roman"/>
                <w:b/>
                <w:bCs/>
                <w:sz w:val="20"/>
                <w:szCs w:val="20"/>
              </w:rPr>
              <w:t>(duration of dialysis in months)</w:t>
            </w:r>
          </w:p>
        </w:tc>
        <w:tc>
          <w:tcPr>
            <w:tcW w:w="1273" w:type="dxa"/>
            <w:tcBorders>
              <w:top w:val="thinThickSmallGap" w:sz="24" w:space="0" w:color="auto"/>
              <w:left w:val="single" w:sz="4" w:space="0" w:color="auto"/>
              <w:right w:val="thinThickSmallGap" w:sz="24" w:space="0" w:color="auto"/>
            </w:tcBorders>
            <w:shd w:val="clear" w:color="auto" w:fill="D9D9D9" w:themeFill="background1" w:themeFillShade="D9"/>
          </w:tcPr>
          <w:p w:rsidR="006E2FD3" w:rsidRPr="00243520" w:rsidRDefault="006E2FD3" w:rsidP="006E2FD3">
            <w:pPr>
              <w:spacing w:after="0" w:line="240" w:lineRule="auto"/>
              <w:jc w:val="center"/>
              <w:rPr>
                <w:rFonts w:ascii="Times New Roman" w:hAnsi="Times New Roman" w:cs="Times New Roman"/>
                <w:b/>
                <w:bCs/>
                <w:sz w:val="20"/>
                <w:szCs w:val="20"/>
                <w:lang w:bidi="ar-IQ"/>
              </w:rPr>
            </w:pPr>
            <w:r w:rsidRPr="00243520">
              <w:rPr>
                <w:rFonts w:ascii="Times New Roman" w:hAnsi="Times New Roman" w:cs="Times New Roman"/>
                <w:b/>
                <w:bCs/>
                <w:sz w:val="20"/>
                <w:szCs w:val="20"/>
                <w:lang w:bidi="ar-IQ"/>
              </w:rPr>
              <w:t>Healthy subjects</w:t>
            </w:r>
          </w:p>
        </w:tc>
      </w:tr>
      <w:tr w:rsidR="006E2FD3" w:rsidRPr="00243520" w:rsidTr="006E2FD3">
        <w:trPr>
          <w:trHeight w:val="620"/>
        </w:trPr>
        <w:tc>
          <w:tcPr>
            <w:tcW w:w="1953" w:type="dxa"/>
            <w:gridSpan w:val="2"/>
            <w:vMerge/>
            <w:tcBorders>
              <w:left w:val="thinThickSmallGap" w:sz="24" w:space="0" w:color="auto"/>
              <w:right w:val="single" w:sz="4" w:space="0" w:color="auto"/>
            </w:tcBorders>
            <w:shd w:val="clear" w:color="auto" w:fill="D9D9D9" w:themeFill="background1" w:themeFillShade="D9"/>
          </w:tcPr>
          <w:p w:rsidR="006E2FD3" w:rsidRPr="00243520" w:rsidRDefault="006E2FD3" w:rsidP="006E2FD3">
            <w:pPr>
              <w:ind w:left="694"/>
              <w:jc w:val="right"/>
              <w:rPr>
                <w:rFonts w:ascii="Times New Roman" w:hAnsi="Times New Roman" w:cs="Times New Roman"/>
                <w:b/>
                <w:bCs/>
                <w:sz w:val="20"/>
                <w:szCs w:val="20"/>
                <w:rtl/>
              </w:rPr>
            </w:pPr>
          </w:p>
        </w:tc>
        <w:tc>
          <w:tcPr>
            <w:tcW w:w="1335" w:type="dxa"/>
            <w:tcBorders>
              <w:top w:val="single" w:sz="4" w:space="0" w:color="auto"/>
              <w:left w:val="single" w:sz="4" w:space="0" w:color="auto"/>
              <w:right w:val="single" w:sz="4" w:space="0" w:color="auto"/>
            </w:tcBorders>
            <w:shd w:val="clear" w:color="auto" w:fill="D9D9D9" w:themeFill="background1" w:themeFillShade="D9"/>
          </w:tcPr>
          <w:p w:rsidR="006E2FD3" w:rsidRPr="00243520" w:rsidRDefault="006E2FD3" w:rsidP="006E2FD3">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&lt;18 months (group1)</w:t>
            </w:r>
          </w:p>
        </w:tc>
        <w:tc>
          <w:tcPr>
            <w:tcW w:w="1218" w:type="dxa"/>
            <w:tcBorders>
              <w:top w:val="single" w:sz="4" w:space="0" w:color="auto"/>
              <w:left w:val="single" w:sz="4" w:space="0" w:color="auto"/>
              <w:right w:val="single" w:sz="4" w:space="0" w:color="auto"/>
            </w:tcBorders>
            <w:shd w:val="clear" w:color="auto" w:fill="D9D9D9" w:themeFill="background1" w:themeFillShade="D9"/>
          </w:tcPr>
          <w:p w:rsidR="006E2FD3" w:rsidRPr="00243520" w:rsidRDefault="006E2FD3" w:rsidP="006E2FD3">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18-36 months (group2)</w:t>
            </w:r>
          </w:p>
        </w:tc>
        <w:tc>
          <w:tcPr>
            <w:tcW w:w="1335" w:type="dxa"/>
            <w:tcBorders>
              <w:top w:val="single" w:sz="4" w:space="0" w:color="auto"/>
              <w:left w:val="single" w:sz="4" w:space="0" w:color="auto"/>
              <w:right w:val="single" w:sz="4" w:space="0" w:color="auto"/>
            </w:tcBorders>
            <w:shd w:val="clear" w:color="auto" w:fill="D9D9D9" w:themeFill="background1" w:themeFillShade="D9"/>
          </w:tcPr>
          <w:p w:rsidR="006E2FD3" w:rsidRPr="00243520" w:rsidRDefault="006E2FD3" w:rsidP="006E2FD3">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36-54 months (group3)</w:t>
            </w:r>
          </w:p>
        </w:tc>
        <w:tc>
          <w:tcPr>
            <w:tcW w:w="1273" w:type="dxa"/>
            <w:tcBorders>
              <w:top w:val="single" w:sz="4" w:space="0" w:color="auto"/>
              <w:left w:val="single" w:sz="4" w:space="0" w:color="auto"/>
              <w:right w:val="thinThickSmallGap" w:sz="24" w:space="0" w:color="auto"/>
            </w:tcBorders>
            <w:shd w:val="clear" w:color="auto" w:fill="D9D9D9" w:themeFill="background1" w:themeFillShade="D9"/>
          </w:tcPr>
          <w:p w:rsidR="006E2FD3" w:rsidRPr="00243520" w:rsidRDefault="006E2FD3" w:rsidP="006E2FD3">
            <w:pPr>
              <w:jc w:val="center"/>
              <w:rPr>
                <w:rFonts w:ascii="Times New Roman" w:hAnsi="Times New Roman" w:cs="Times New Roman"/>
                <w:b/>
                <w:bCs/>
                <w:sz w:val="20"/>
                <w:szCs w:val="20"/>
                <w:lang w:bidi="ar-IQ"/>
              </w:rPr>
            </w:pPr>
            <w:r w:rsidRPr="00243520">
              <w:rPr>
                <w:rFonts w:ascii="Times New Roman" w:hAnsi="Times New Roman" w:cs="Times New Roman"/>
                <w:b/>
                <w:bCs/>
                <w:sz w:val="20"/>
                <w:szCs w:val="20"/>
                <w:lang w:bidi="ar-IQ"/>
              </w:rPr>
              <w:t>Control (group4)</w:t>
            </w:r>
          </w:p>
        </w:tc>
      </w:tr>
      <w:tr w:rsidR="006E2FD3" w:rsidRPr="00243520" w:rsidTr="006E2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91"/>
        </w:trPr>
        <w:tc>
          <w:tcPr>
            <w:tcW w:w="983" w:type="dxa"/>
            <w:vMerge w:val="restart"/>
            <w:tcBorders>
              <w:top w:val="single" w:sz="4" w:space="0" w:color="auto"/>
              <w:left w:val="thinThickSmallGap" w:sz="24" w:space="0" w:color="auto"/>
              <w:right w:val="single" w:sz="4" w:space="0" w:color="auto"/>
            </w:tcBorders>
            <w:hideMark/>
          </w:tcPr>
          <w:p w:rsidR="006E2FD3" w:rsidRPr="00243520" w:rsidRDefault="006E2FD3" w:rsidP="006E2FD3">
            <w:pPr>
              <w:bidi w:val="0"/>
              <w:spacing w:after="0" w:line="240" w:lineRule="auto"/>
              <w:jc w:val="center"/>
              <w:rPr>
                <w:rFonts w:ascii="Times New Roman" w:hAnsi="Times New Roman" w:cs="Times New Roman"/>
                <w:b/>
                <w:bCs/>
                <w:sz w:val="20"/>
                <w:szCs w:val="20"/>
              </w:rPr>
            </w:pPr>
          </w:p>
          <w:p w:rsidR="006E2FD3" w:rsidRPr="00243520" w:rsidRDefault="006E2FD3" w:rsidP="006E2FD3">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FSH</w:t>
            </w:r>
          </w:p>
          <w:p w:rsidR="006E2FD3" w:rsidRPr="00243520" w:rsidRDefault="006E2FD3" w:rsidP="006E2FD3">
            <w:pPr>
              <w:bidi w:val="0"/>
              <w:spacing w:after="0" w:line="240" w:lineRule="auto"/>
              <w:jc w:val="center"/>
              <w:rPr>
                <w:rFonts w:ascii="Times New Roman" w:hAnsi="Times New Roman" w:cs="Times New Roman"/>
                <w:b/>
                <w:bCs/>
                <w:sz w:val="20"/>
                <w:szCs w:val="20"/>
              </w:rPr>
            </w:pPr>
            <w:r w:rsidRPr="00243520">
              <w:rPr>
                <w:rFonts w:asciiTheme="majorBidi" w:hAnsiTheme="majorBidi" w:cstheme="majorBidi"/>
                <w:sz w:val="20"/>
                <w:szCs w:val="20"/>
                <w:lang w:bidi="ar-IQ"/>
              </w:rPr>
              <w:t>(</w:t>
            </w:r>
            <w:proofErr w:type="spellStart"/>
            <w:r w:rsidRPr="00243520">
              <w:rPr>
                <w:rFonts w:asciiTheme="majorBidi" w:hAnsiTheme="majorBidi" w:cstheme="majorBidi"/>
                <w:sz w:val="20"/>
                <w:szCs w:val="20"/>
                <w:lang w:bidi="ar-IQ"/>
              </w:rPr>
              <w:t>mIU</w:t>
            </w:r>
            <w:proofErr w:type="spellEnd"/>
            <w:r w:rsidRPr="00243520">
              <w:rPr>
                <w:rFonts w:asciiTheme="majorBidi" w:hAnsiTheme="majorBidi" w:cstheme="majorBidi"/>
                <w:sz w:val="20"/>
                <w:szCs w:val="20"/>
                <w:lang w:bidi="ar-IQ"/>
              </w:rPr>
              <w:t>/ml)</w:t>
            </w:r>
          </w:p>
        </w:tc>
        <w:tc>
          <w:tcPr>
            <w:tcW w:w="970" w:type="dxa"/>
            <w:tcBorders>
              <w:top w:val="single" w:sz="4" w:space="0" w:color="auto"/>
              <w:left w:val="single" w:sz="4" w:space="0" w:color="auto"/>
              <w:bottom w:val="single" w:sz="4" w:space="0" w:color="auto"/>
              <w:right w:val="single" w:sz="4" w:space="0" w:color="auto"/>
            </w:tcBorders>
          </w:tcPr>
          <w:p w:rsidR="006E2FD3" w:rsidRPr="00243520" w:rsidRDefault="006E2FD3" w:rsidP="006E2FD3">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Male</w:t>
            </w:r>
          </w:p>
        </w:tc>
        <w:tc>
          <w:tcPr>
            <w:tcW w:w="1335" w:type="dxa"/>
            <w:tcBorders>
              <w:top w:val="single" w:sz="4" w:space="0" w:color="auto"/>
              <w:left w:val="single" w:sz="4" w:space="0" w:color="auto"/>
              <w:bottom w:val="single" w:sz="4" w:space="0" w:color="auto"/>
              <w:right w:val="single" w:sz="4" w:space="0" w:color="000000"/>
            </w:tcBorders>
            <w:hideMark/>
          </w:tcPr>
          <w:p w:rsidR="006E2FD3" w:rsidRPr="00243520" w:rsidRDefault="006E2FD3" w:rsidP="006E2FD3">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12.9 ± 2.13             (A)</w:t>
            </w:r>
          </w:p>
        </w:tc>
        <w:tc>
          <w:tcPr>
            <w:tcW w:w="1218" w:type="dxa"/>
            <w:tcBorders>
              <w:top w:val="single" w:sz="4" w:space="0" w:color="auto"/>
              <w:left w:val="single" w:sz="4" w:space="0" w:color="000000"/>
              <w:bottom w:val="single" w:sz="4" w:space="0" w:color="auto"/>
              <w:right w:val="single" w:sz="4" w:space="0" w:color="auto"/>
            </w:tcBorders>
            <w:hideMark/>
          </w:tcPr>
          <w:p w:rsidR="006E2FD3" w:rsidRPr="00243520" w:rsidRDefault="006E2FD3" w:rsidP="006E2FD3">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14.26 ± 3         (A)</w:t>
            </w:r>
          </w:p>
        </w:tc>
        <w:tc>
          <w:tcPr>
            <w:tcW w:w="1335" w:type="dxa"/>
            <w:tcBorders>
              <w:top w:val="single" w:sz="4" w:space="0" w:color="auto"/>
              <w:left w:val="single" w:sz="4" w:space="0" w:color="auto"/>
              <w:bottom w:val="single" w:sz="4" w:space="0" w:color="auto"/>
              <w:right w:val="single" w:sz="4" w:space="0" w:color="auto"/>
            </w:tcBorders>
            <w:hideMark/>
          </w:tcPr>
          <w:p w:rsidR="006E2FD3" w:rsidRPr="00243520" w:rsidRDefault="006E2FD3" w:rsidP="006E2FD3">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14.25 ± 5.19  A)</w:t>
            </w:r>
            <w:r w:rsidRPr="00243520">
              <w:rPr>
                <w:rFonts w:asciiTheme="majorBidi" w:hAnsiTheme="majorBidi" w:cstheme="majorBidi" w:hint="cs"/>
                <w:sz w:val="20"/>
                <w:szCs w:val="20"/>
                <w:rtl/>
                <w:lang w:bidi="ar-IQ"/>
              </w:rPr>
              <w:t>)</w:t>
            </w:r>
          </w:p>
        </w:tc>
        <w:tc>
          <w:tcPr>
            <w:tcW w:w="1273" w:type="dxa"/>
            <w:tcBorders>
              <w:top w:val="single" w:sz="4" w:space="0" w:color="auto"/>
              <w:left w:val="single" w:sz="4" w:space="0" w:color="auto"/>
              <w:bottom w:val="single" w:sz="4" w:space="0" w:color="auto"/>
              <w:right w:val="thickThinSmallGap" w:sz="24" w:space="0" w:color="auto"/>
            </w:tcBorders>
            <w:hideMark/>
          </w:tcPr>
          <w:p w:rsidR="006E2FD3" w:rsidRPr="00243520" w:rsidRDefault="006E2FD3" w:rsidP="006E2FD3">
            <w:pPr>
              <w:spacing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4.6 ± 3.07        (B)</w:t>
            </w:r>
          </w:p>
        </w:tc>
      </w:tr>
      <w:tr w:rsidR="006E2FD3" w:rsidRPr="00243520" w:rsidTr="006E2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56"/>
        </w:trPr>
        <w:tc>
          <w:tcPr>
            <w:tcW w:w="983" w:type="dxa"/>
            <w:vMerge/>
            <w:tcBorders>
              <w:left w:val="thinThickSmallGap" w:sz="24" w:space="0" w:color="auto"/>
              <w:bottom w:val="thickThinSmallGap" w:sz="24" w:space="0" w:color="auto"/>
              <w:right w:val="single" w:sz="4" w:space="0" w:color="auto"/>
            </w:tcBorders>
            <w:hideMark/>
          </w:tcPr>
          <w:p w:rsidR="006E2FD3" w:rsidRPr="00243520" w:rsidRDefault="006E2FD3" w:rsidP="006E2FD3">
            <w:pPr>
              <w:bidi w:val="0"/>
              <w:spacing w:after="0" w:line="240" w:lineRule="auto"/>
              <w:rPr>
                <w:rFonts w:ascii="Times New Roman" w:hAnsi="Times New Roman" w:cs="Times New Roman"/>
                <w:b/>
                <w:bCs/>
                <w:sz w:val="20"/>
                <w:szCs w:val="20"/>
              </w:rPr>
            </w:pPr>
          </w:p>
        </w:tc>
        <w:tc>
          <w:tcPr>
            <w:tcW w:w="970" w:type="dxa"/>
            <w:tcBorders>
              <w:top w:val="single" w:sz="4" w:space="0" w:color="auto"/>
              <w:left w:val="single" w:sz="4" w:space="0" w:color="auto"/>
              <w:bottom w:val="thickThinSmallGap" w:sz="24" w:space="0" w:color="auto"/>
              <w:right w:val="single" w:sz="4" w:space="0" w:color="auto"/>
            </w:tcBorders>
          </w:tcPr>
          <w:p w:rsidR="006E2FD3" w:rsidRPr="00243520" w:rsidRDefault="006E2FD3" w:rsidP="006E2FD3">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Female</w:t>
            </w:r>
          </w:p>
        </w:tc>
        <w:tc>
          <w:tcPr>
            <w:tcW w:w="1335" w:type="dxa"/>
            <w:tcBorders>
              <w:top w:val="single" w:sz="4" w:space="0" w:color="auto"/>
              <w:left w:val="single" w:sz="4" w:space="0" w:color="auto"/>
              <w:bottom w:val="thickThinSmallGap" w:sz="24" w:space="0" w:color="auto"/>
              <w:right w:val="single" w:sz="4" w:space="0" w:color="000000"/>
            </w:tcBorders>
            <w:hideMark/>
          </w:tcPr>
          <w:p w:rsidR="006E2FD3" w:rsidRPr="00243520" w:rsidRDefault="006E2FD3" w:rsidP="006E2FD3">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9.01</w:t>
            </w:r>
            <w:r w:rsidRPr="00243520">
              <w:rPr>
                <w:rFonts w:ascii="Calibri" w:hAnsi="Calibri" w:cs="Calibri"/>
                <w:sz w:val="20"/>
                <w:szCs w:val="20"/>
                <w:lang w:bidi="ar-IQ"/>
              </w:rPr>
              <w:t xml:space="preserve"> ±</w:t>
            </w:r>
            <w:r w:rsidRPr="00243520">
              <w:rPr>
                <w:rFonts w:asciiTheme="majorBidi" w:hAnsiTheme="majorBidi" w:cstheme="majorBidi"/>
                <w:sz w:val="20"/>
                <w:szCs w:val="20"/>
                <w:lang w:bidi="ar-IQ"/>
              </w:rPr>
              <w:t xml:space="preserve"> 4.6      A)</w:t>
            </w:r>
            <w:r w:rsidRPr="00243520">
              <w:rPr>
                <w:rFonts w:asciiTheme="majorBidi" w:hAnsiTheme="majorBidi" w:cstheme="majorBidi" w:hint="cs"/>
                <w:sz w:val="20"/>
                <w:szCs w:val="20"/>
                <w:rtl/>
                <w:lang w:bidi="ar-IQ"/>
              </w:rPr>
              <w:t>)</w:t>
            </w:r>
          </w:p>
        </w:tc>
        <w:tc>
          <w:tcPr>
            <w:tcW w:w="1218" w:type="dxa"/>
            <w:tcBorders>
              <w:top w:val="single" w:sz="4" w:space="0" w:color="auto"/>
              <w:left w:val="single" w:sz="4" w:space="0" w:color="000000"/>
              <w:bottom w:val="thickThinSmallGap" w:sz="24" w:space="0" w:color="auto"/>
              <w:right w:val="single" w:sz="4" w:space="0" w:color="auto"/>
            </w:tcBorders>
            <w:hideMark/>
          </w:tcPr>
          <w:p w:rsidR="006E2FD3" w:rsidRPr="00243520" w:rsidRDefault="006E2FD3" w:rsidP="006E2FD3">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9.82</w:t>
            </w:r>
            <w:r w:rsidRPr="00243520">
              <w:rPr>
                <w:rFonts w:ascii="Calibri" w:hAnsi="Calibri" w:cs="Calibri"/>
                <w:sz w:val="20"/>
                <w:szCs w:val="20"/>
                <w:lang w:bidi="ar-IQ"/>
              </w:rPr>
              <w:t xml:space="preserve"> ± 2.6    A)</w:t>
            </w:r>
            <w:r w:rsidRPr="00243520">
              <w:rPr>
                <w:rFonts w:asciiTheme="majorBidi" w:hAnsiTheme="majorBidi" w:cstheme="majorBidi" w:hint="cs"/>
                <w:sz w:val="20"/>
                <w:szCs w:val="20"/>
                <w:rtl/>
                <w:lang w:bidi="ar-IQ"/>
              </w:rPr>
              <w:t>)</w:t>
            </w:r>
          </w:p>
        </w:tc>
        <w:tc>
          <w:tcPr>
            <w:tcW w:w="1335" w:type="dxa"/>
            <w:tcBorders>
              <w:top w:val="single" w:sz="4" w:space="0" w:color="auto"/>
              <w:left w:val="single" w:sz="4" w:space="0" w:color="auto"/>
              <w:bottom w:val="thickThinSmallGap" w:sz="24" w:space="0" w:color="auto"/>
              <w:right w:val="single" w:sz="4" w:space="0" w:color="auto"/>
            </w:tcBorders>
            <w:hideMark/>
          </w:tcPr>
          <w:p w:rsidR="006E2FD3" w:rsidRPr="00243520" w:rsidRDefault="006E2FD3" w:rsidP="006E2FD3">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10.33</w:t>
            </w:r>
            <w:r w:rsidRPr="00243520">
              <w:rPr>
                <w:rFonts w:ascii="Calibri" w:hAnsi="Calibri" w:cs="Calibri"/>
                <w:sz w:val="20"/>
                <w:szCs w:val="20"/>
                <w:lang w:bidi="ar-IQ"/>
              </w:rPr>
              <w:t xml:space="preserve"> ± </w:t>
            </w:r>
            <w:r w:rsidRPr="00243520">
              <w:rPr>
                <w:rFonts w:asciiTheme="majorBidi" w:hAnsiTheme="majorBidi" w:cstheme="majorBidi"/>
                <w:sz w:val="20"/>
                <w:szCs w:val="20"/>
                <w:lang w:bidi="ar-IQ"/>
              </w:rPr>
              <w:t>4        A)</w:t>
            </w:r>
            <w:r w:rsidRPr="00243520">
              <w:rPr>
                <w:rFonts w:asciiTheme="majorBidi" w:hAnsiTheme="majorBidi" w:cstheme="majorBidi" w:hint="cs"/>
                <w:sz w:val="20"/>
                <w:szCs w:val="20"/>
                <w:rtl/>
                <w:lang w:bidi="ar-IQ"/>
              </w:rPr>
              <w:t>)</w:t>
            </w:r>
          </w:p>
        </w:tc>
        <w:tc>
          <w:tcPr>
            <w:tcW w:w="1273" w:type="dxa"/>
            <w:tcBorders>
              <w:top w:val="single" w:sz="4" w:space="0" w:color="auto"/>
              <w:left w:val="single" w:sz="4" w:space="0" w:color="auto"/>
              <w:bottom w:val="thickThinSmallGap" w:sz="24" w:space="0" w:color="auto"/>
              <w:right w:val="thickThinSmallGap" w:sz="24" w:space="0" w:color="auto"/>
            </w:tcBorders>
            <w:hideMark/>
          </w:tcPr>
          <w:p w:rsidR="006E2FD3" w:rsidRPr="00243520" w:rsidRDefault="006E2FD3" w:rsidP="006E2FD3">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 xml:space="preserve">5.51 </w:t>
            </w:r>
            <w:r w:rsidRPr="00243520">
              <w:rPr>
                <w:rFonts w:ascii="Calibri" w:hAnsi="Calibri" w:cs="Calibri"/>
                <w:sz w:val="20"/>
                <w:szCs w:val="20"/>
                <w:lang w:bidi="ar-IQ"/>
              </w:rPr>
              <w:t>±</w:t>
            </w:r>
            <w:r w:rsidRPr="00243520">
              <w:rPr>
                <w:rFonts w:asciiTheme="majorBidi" w:hAnsiTheme="majorBidi" w:cstheme="majorBidi"/>
                <w:sz w:val="20"/>
                <w:szCs w:val="20"/>
                <w:lang w:bidi="ar-IQ"/>
              </w:rPr>
              <w:t xml:space="preserve"> 1.55    B)</w:t>
            </w:r>
            <w:r w:rsidRPr="00243520">
              <w:rPr>
                <w:rFonts w:asciiTheme="majorBidi" w:hAnsiTheme="majorBidi" w:cstheme="majorBidi" w:hint="cs"/>
                <w:sz w:val="20"/>
                <w:szCs w:val="20"/>
                <w:rtl/>
                <w:lang w:bidi="ar-IQ"/>
              </w:rPr>
              <w:t>)</w:t>
            </w:r>
          </w:p>
        </w:tc>
      </w:tr>
    </w:tbl>
    <w:p w:rsidR="006E2FD3" w:rsidRDefault="006E2FD3" w:rsidP="006E2FD3">
      <w:pPr>
        <w:autoSpaceDE w:val="0"/>
        <w:autoSpaceDN w:val="0"/>
        <w:bidi w:val="0"/>
        <w:adjustRightInd w:val="0"/>
        <w:spacing w:after="0" w:line="360" w:lineRule="auto"/>
        <w:jc w:val="both"/>
        <w:rPr>
          <w:rFonts w:ascii="Times New Roman" w:hAnsi="Times New Roman" w:cs="Times New Roman"/>
          <w:sz w:val="24"/>
          <w:szCs w:val="24"/>
          <w:lang w:bidi="ar-IQ"/>
        </w:rPr>
      </w:pPr>
    </w:p>
    <w:p w:rsidR="00D668B2" w:rsidRDefault="00D668B2" w:rsidP="00D668B2">
      <w:pPr>
        <w:autoSpaceDE w:val="0"/>
        <w:autoSpaceDN w:val="0"/>
        <w:bidi w:val="0"/>
        <w:adjustRightInd w:val="0"/>
        <w:spacing w:after="0" w:line="360" w:lineRule="auto"/>
        <w:jc w:val="both"/>
        <w:rPr>
          <w:rFonts w:ascii="Times New Roman" w:hAnsi="Times New Roman" w:cs="Times New Roman"/>
          <w:sz w:val="24"/>
          <w:szCs w:val="24"/>
          <w:lang w:bidi="ar-IQ"/>
        </w:rPr>
      </w:pPr>
    </w:p>
    <w:p w:rsidR="00D668B2" w:rsidRDefault="00D668B2" w:rsidP="00D668B2">
      <w:pPr>
        <w:autoSpaceDE w:val="0"/>
        <w:autoSpaceDN w:val="0"/>
        <w:bidi w:val="0"/>
        <w:adjustRightInd w:val="0"/>
        <w:spacing w:after="0" w:line="360" w:lineRule="auto"/>
        <w:jc w:val="both"/>
        <w:rPr>
          <w:rFonts w:ascii="Times New Roman" w:hAnsi="Times New Roman" w:cs="Times New Roman"/>
          <w:sz w:val="24"/>
          <w:szCs w:val="24"/>
          <w:lang w:bidi="ar-IQ"/>
        </w:rPr>
      </w:pPr>
    </w:p>
    <w:p w:rsidR="00D668B2" w:rsidRDefault="00D668B2" w:rsidP="00D668B2">
      <w:pPr>
        <w:autoSpaceDE w:val="0"/>
        <w:autoSpaceDN w:val="0"/>
        <w:bidi w:val="0"/>
        <w:adjustRightInd w:val="0"/>
        <w:spacing w:after="0" w:line="360" w:lineRule="auto"/>
        <w:jc w:val="both"/>
        <w:rPr>
          <w:rFonts w:ascii="Times New Roman" w:hAnsi="Times New Roman" w:cs="Times New Roman"/>
          <w:sz w:val="24"/>
          <w:szCs w:val="24"/>
          <w:lang w:bidi="ar-IQ"/>
        </w:rPr>
      </w:pPr>
    </w:p>
    <w:p w:rsidR="001237A1" w:rsidRDefault="001237A1" w:rsidP="001237A1">
      <w:pPr>
        <w:autoSpaceDE w:val="0"/>
        <w:autoSpaceDN w:val="0"/>
        <w:bidi w:val="0"/>
        <w:adjustRightInd w:val="0"/>
        <w:spacing w:after="0" w:line="360" w:lineRule="auto"/>
        <w:jc w:val="both"/>
        <w:rPr>
          <w:rFonts w:ascii="Times New Roman" w:hAnsi="Times New Roman" w:cs="Times New Roman"/>
          <w:sz w:val="24"/>
          <w:szCs w:val="24"/>
          <w:lang w:bidi="ar-IQ"/>
        </w:rPr>
      </w:pPr>
    </w:p>
    <w:p w:rsidR="003358BE" w:rsidRPr="00B034CB" w:rsidRDefault="003358BE" w:rsidP="005C39E3">
      <w:pPr>
        <w:bidi w:val="0"/>
        <w:spacing w:line="360" w:lineRule="auto"/>
        <w:ind w:right="-192"/>
        <w:rPr>
          <w:rFonts w:ascii="Times New Roman" w:hAnsi="Times New Roman" w:cs="Times New Roman"/>
          <w:b/>
          <w:bCs/>
          <w:sz w:val="24"/>
          <w:szCs w:val="24"/>
        </w:rPr>
      </w:pPr>
    </w:p>
    <w:p w:rsidR="00CE2CAC" w:rsidRPr="0004176F" w:rsidRDefault="00CE2CAC" w:rsidP="00CE2CAC">
      <w:pPr>
        <w:bidi w:val="0"/>
        <w:spacing w:after="0" w:line="240" w:lineRule="auto"/>
        <w:rPr>
          <w:rFonts w:ascii="Times New Roman" w:hAnsi="Times New Roman" w:cs="Times New Roman"/>
          <w:sz w:val="24"/>
          <w:szCs w:val="24"/>
        </w:rPr>
      </w:pPr>
    </w:p>
    <w:p w:rsidR="00D9248D" w:rsidRDefault="00D9248D" w:rsidP="003358BE">
      <w:pPr>
        <w:autoSpaceDE w:val="0"/>
        <w:autoSpaceDN w:val="0"/>
        <w:bidi w:val="0"/>
        <w:adjustRightInd w:val="0"/>
        <w:spacing w:after="0" w:line="360" w:lineRule="auto"/>
        <w:jc w:val="both"/>
        <w:rPr>
          <w:rFonts w:ascii="Times New Roman" w:hAnsi="Times New Roman" w:cs="Times New Roman"/>
          <w:sz w:val="24"/>
          <w:szCs w:val="24"/>
          <w:rtl/>
          <w:lang w:bidi="ar-IQ"/>
        </w:rPr>
      </w:pPr>
    </w:p>
    <w:p w:rsidR="00D9248D" w:rsidRDefault="00D9248D" w:rsidP="00D9248D">
      <w:pPr>
        <w:autoSpaceDE w:val="0"/>
        <w:autoSpaceDN w:val="0"/>
        <w:bidi w:val="0"/>
        <w:adjustRightInd w:val="0"/>
        <w:spacing w:after="0" w:line="360" w:lineRule="auto"/>
        <w:jc w:val="both"/>
        <w:rPr>
          <w:rFonts w:ascii="Times New Roman" w:hAnsi="Times New Roman" w:cs="Times New Roman"/>
          <w:sz w:val="24"/>
          <w:szCs w:val="24"/>
          <w:rtl/>
          <w:lang w:bidi="ar-IQ"/>
        </w:rPr>
      </w:pPr>
    </w:p>
    <w:p w:rsidR="00680E6F" w:rsidRDefault="00680E6F" w:rsidP="00680E6F">
      <w:pPr>
        <w:bidi w:val="0"/>
        <w:spacing w:after="0" w:line="240" w:lineRule="auto"/>
        <w:ind w:right="-192"/>
        <w:rPr>
          <w:rFonts w:ascii="Times New Roman" w:hAnsi="Times New Roman" w:cs="Times New Roman"/>
          <w:b/>
          <w:bCs/>
          <w:sz w:val="24"/>
          <w:szCs w:val="24"/>
          <w:u w:val="single"/>
        </w:rPr>
      </w:pPr>
    </w:p>
    <w:tbl>
      <w:tblPr>
        <w:tblpPr w:leftFromText="180" w:rightFromText="180" w:vertAnchor="text" w:horzAnchor="margin" w:tblpXSpec="center" w:tblpY="979"/>
        <w:tblW w:w="7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844"/>
        <w:gridCol w:w="1275"/>
        <w:gridCol w:w="1418"/>
        <w:gridCol w:w="1417"/>
        <w:gridCol w:w="1398"/>
      </w:tblGrid>
      <w:tr w:rsidR="00680E6F" w:rsidRPr="00243520" w:rsidTr="00680E6F">
        <w:trPr>
          <w:trHeight w:val="534"/>
        </w:trPr>
        <w:tc>
          <w:tcPr>
            <w:tcW w:w="1694" w:type="dxa"/>
            <w:gridSpan w:val="2"/>
            <w:vMerge w:val="restart"/>
            <w:tcBorders>
              <w:top w:val="thinThickSmallGap" w:sz="24" w:space="0" w:color="auto"/>
              <w:left w:val="thinThickSmallGap" w:sz="24" w:space="0" w:color="auto"/>
              <w:right w:val="single" w:sz="4" w:space="0" w:color="auto"/>
            </w:tcBorders>
            <w:shd w:val="clear" w:color="auto" w:fill="DBE5F1" w:themeFill="accent1" w:themeFillTint="33"/>
          </w:tcPr>
          <w:p w:rsidR="00680E6F" w:rsidRPr="00243520" w:rsidRDefault="00680E6F" w:rsidP="00680E6F">
            <w:pPr>
              <w:bidi w:val="0"/>
              <w:spacing w:after="0" w:line="240" w:lineRule="auto"/>
              <w:jc w:val="center"/>
              <w:rPr>
                <w:rFonts w:ascii="Times New Roman" w:hAnsi="Times New Roman" w:cs="Times New Roman"/>
                <w:b/>
                <w:bCs/>
                <w:sz w:val="20"/>
                <w:szCs w:val="20"/>
              </w:rPr>
            </w:pPr>
          </w:p>
          <w:p w:rsidR="00680E6F" w:rsidRPr="00243520" w:rsidRDefault="00680E6F" w:rsidP="00680E6F">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lang w:bidi="ar-IQ"/>
              </w:rPr>
              <w:t xml:space="preserve">Hormone </w:t>
            </w:r>
          </w:p>
        </w:tc>
        <w:tc>
          <w:tcPr>
            <w:tcW w:w="4110" w:type="dxa"/>
            <w:gridSpan w:val="3"/>
            <w:tcBorders>
              <w:top w:val="thinThickSmallGap" w:sz="24" w:space="0" w:color="auto"/>
              <w:left w:val="single" w:sz="4" w:space="0" w:color="auto"/>
              <w:bottom w:val="single" w:sz="4" w:space="0" w:color="auto"/>
              <w:right w:val="single" w:sz="4" w:space="0" w:color="auto"/>
            </w:tcBorders>
            <w:shd w:val="clear" w:color="auto" w:fill="DBE5F1" w:themeFill="accent1" w:themeFillTint="33"/>
            <w:hideMark/>
          </w:tcPr>
          <w:p w:rsidR="00680E6F" w:rsidRPr="00243520" w:rsidRDefault="00680E6F" w:rsidP="00680E6F">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 xml:space="preserve">Patients with CRF </w:t>
            </w:r>
          </w:p>
          <w:p w:rsidR="00680E6F" w:rsidRPr="00243520" w:rsidRDefault="00680E6F" w:rsidP="00680E6F">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 xml:space="preserve">(duration of dialysis in months)    </w:t>
            </w:r>
          </w:p>
        </w:tc>
        <w:tc>
          <w:tcPr>
            <w:tcW w:w="1398" w:type="dxa"/>
            <w:tcBorders>
              <w:top w:val="thinThickSmallGap" w:sz="24" w:space="0" w:color="auto"/>
              <w:left w:val="single" w:sz="4" w:space="0" w:color="auto"/>
              <w:bottom w:val="single" w:sz="4" w:space="0" w:color="auto"/>
              <w:right w:val="thickThinSmallGap" w:sz="24" w:space="0" w:color="auto"/>
            </w:tcBorders>
            <w:shd w:val="clear" w:color="auto" w:fill="DBE5F1" w:themeFill="accent1" w:themeFillTint="33"/>
          </w:tcPr>
          <w:p w:rsidR="00680E6F" w:rsidRPr="00243520" w:rsidRDefault="00680E6F" w:rsidP="00680E6F">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Healthy subjects</w:t>
            </w:r>
          </w:p>
        </w:tc>
      </w:tr>
      <w:tr w:rsidR="00680E6F" w:rsidRPr="00243520" w:rsidTr="00680E6F">
        <w:trPr>
          <w:trHeight w:val="637"/>
        </w:trPr>
        <w:tc>
          <w:tcPr>
            <w:tcW w:w="1694" w:type="dxa"/>
            <w:gridSpan w:val="2"/>
            <w:vMerge/>
            <w:tcBorders>
              <w:left w:val="thinThickSmallGap" w:sz="24" w:space="0" w:color="auto"/>
              <w:bottom w:val="single" w:sz="2" w:space="0" w:color="auto"/>
              <w:right w:val="single" w:sz="4" w:space="0" w:color="auto"/>
            </w:tcBorders>
            <w:shd w:val="clear" w:color="auto" w:fill="DBE5F1" w:themeFill="accent1" w:themeFillTint="33"/>
          </w:tcPr>
          <w:p w:rsidR="00680E6F" w:rsidRPr="00243520" w:rsidRDefault="00680E6F" w:rsidP="00680E6F">
            <w:pPr>
              <w:bidi w:val="0"/>
              <w:spacing w:after="0" w:line="240" w:lineRule="auto"/>
              <w:jc w:val="center"/>
              <w:rPr>
                <w:rFonts w:ascii="Times New Roman" w:hAnsi="Times New Roman" w:cs="Times New Roman"/>
                <w:b/>
                <w:bCs/>
                <w:sz w:val="20"/>
                <w:szCs w:val="20"/>
              </w:rPr>
            </w:pPr>
          </w:p>
        </w:tc>
        <w:tc>
          <w:tcPr>
            <w:tcW w:w="1275" w:type="dxa"/>
            <w:tcBorders>
              <w:top w:val="single" w:sz="4" w:space="0" w:color="auto"/>
              <w:left w:val="single" w:sz="4" w:space="0" w:color="auto"/>
              <w:right w:val="single" w:sz="4" w:space="0" w:color="auto"/>
            </w:tcBorders>
            <w:shd w:val="clear" w:color="auto" w:fill="DBE5F1" w:themeFill="accent1" w:themeFillTint="33"/>
            <w:hideMark/>
          </w:tcPr>
          <w:p w:rsidR="00680E6F" w:rsidRPr="00243520" w:rsidRDefault="00680E6F" w:rsidP="00680E6F">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&lt;18months (group1)</w:t>
            </w:r>
          </w:p>
        </w:tc>
        <w:tc>
          <w:tcPr>
            <w:tcW w:w="1418" w:type="dxa"/>
            <w:tcBorders>
              <w:top w:val="single" w:sz="4" w:space="0" w:color="auto"/>
              <w:left w:val="single" w:sz="4" w:space="0" w:color="auto"/>
              <w:right w:val="single" w:sz="4" w:space="0" w:color="auto"/>
            </w:tcBorders>
            <w:shd w:val="clear" w:color="auto" w:fill="DBE5F1" w:themeFill="accent1" w:themeFillTint="33"/>
          </w:tcPr>
          <w:p w:rsidR="00680E6F" w:rsidRPr="00243520" w:rsidRDefault="00680E6F" w:rsidP="00680E6F">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18- 36months (group2)</w:t>
            </w:r>
          </w:p>
        </w:tc>
        <w:tc>
          <w:tcPr>
            <w:tcW w:w="1417" w:type="dxa"/>
            <w:tcBorders>
              <w:top w:val="single" w:sz="4" w:space="0" w:color="auto"/>
              <w:left w:val="single" w:sz="4" w:space="0" w:color="auto"/>
              <w:right w:val="single" w:sz="4" w:space="0" w:color="auto"/>
            </w:tcBorders>
            <w:shd w:val="clear" w:color="auto" w:fill="DBE5F1" w:themeFill="accent1" w:themeFillTint="33"/>
          </w:tcPr>
          <w:p w:rsidR="00680E6F" w:rsidRPr="00243520" w:rsidRDefault="00680E6F" w:rsidP="00680E6F">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36-54 months (group3)</w:t>
            </w:r>
          </w:p>
        </w:tc>
        <w:tc>
          <w:tcPr>
            <w:tcW w:w="1398" w:type="dxa"/>
            <w:tcBorders>
              <w:top w:val="single" w:sz="4" w:space="0" w:color="auto"/>
              <w:left w:val="single" w:sz="4" w:space="0" w:color="auto"/>
              <w:right w:val="thickThinSmallGap" w:sz="24" w:space="0" w:color="auto"/>
            </w:tcBorders>
            <w:shd w:val="clear" w:color="auto" w:fill="DBE5F1" w:themeFill="accent1" w:themeFillTint="33"/>
          </w:tcPr>
          <w:p w:rsidR="00680E6F" w:rsidRPr="00243520" w:rsidRDefault="00680E6F" w:rsidP="00680E6F">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Control (group4)</w:t>
            </w:r>
          </w:p>
        </w:tc>
      </w:tr>
      <w:tr w:rsidR="00680E6F" w:rsidRPr="00243520" w:rsidTr="00680E6F">
        <w:trPr>
          <w:trHeight w:val="829"/>
        </w:trPr>
        <w:tc>
          <w:tcPr>
            <w:tcW w:w="850" w:type="dxa"/>
            <w:vMerge w:val="restart"/>
            <w:tcBorders>
              <w:top w:val="single" w:sz="2" w:space="0" w:color="auto"/>
              <w:left w:val="thinThickSmallGap" w:sz="24" w:space="0" w:color="auto"/>
              <w:right w:val="single" w:sz="4" w:space="0" w:color="auto"/>
            </w:tcBorders>
            <w:shd w:val="clear" w:color="auto" w:fill="auto"/>
          </w:tcPr>
          <w:p w:rsidR="00680E6F" w:rsidRPr="00243520" w:rsidRDefault="00680E6F" w:rsidP="00680E6F">
            <w:pPr>
              <w:spacing w:before="240" w:after="0" w:line="240" w:lineRule="auto"/>
              <w:jc w:val="center"/>
              <w:rPr>
                <w:rFonts w:asciiTheme="majorBidi" w:hAnsiTheme="majorBidi" w:cstheme="majorBidi"/>
                <w:b/>
                <w:bCs/>
                <w:sz w:val="20"/>
                <w:szCs w:val="20"/>
                <w:lang w:bidi="ar-IQ"/>
              </w:rPr>
            </w:pPr>
          </w:p>
          <w:p w:rsidR="00680E6F" w:rsidRPr="00243520" w:rsidRDefault="00680E6F" w:rsidP="00680E6F">
            <w:pPr>
              <w:spacing w:before="240" w:after="0" w:line="240" w:lineRule="auto"/>
              <w:jc w:val="center"/>
              <w:rPr>
                <w:rFonts w:asciiTheme="majorBidi" w:hAnsiTheme="majorBidi" w:cstheme="majorBidi"/>
                <w:b/>
                <w:bCs/>
                <w:sz w:val="20"/>
                <w:szCs w:val="20"/>
                <w:rtl/>
                <w:lang w:bidi="ar-IQ"/>
              </w:rPr>
            </w:pPr>
            <w:r w:rsidRPr="00243520">
              <w:rPr>
                <w:rFonts w:asciiTheme="majorBidi" w:hAnsiTheme="majorBidi" w:cstheme="majorBidi"/>
                <w:b/>
                <w:bCs/>
                <w:sz w:val="20"/>
                <w:szCs w:val="20"/>
                <w:lang w:bidi="ar-IQ"/>
              </w:rPr>
              <w:t xml:space="preserve">LH </w:t>
            </w:r>
            <w:proofErr w:type="spellStart"/>
            <w:r>
              <w:rPr>
                <w:rFonts w:asciiTheme="majorBidi" w:hAnsiTheme="majorBidi" w:cstheme="majorBidi"/>
                <w:sz w:val="20"/>
                <w:szCs w:val="20"/>
                <w:lang w:bidi="ar-IQ"/>
              </w:rPr>
              <w:t>mIU</w:t>
            </w:r>
            <w:proofErr w:type="spellEnd"/>
            <w:r>
              <w:rPr>
                <w:rFonts w:asciiTheme="majorBidi" w:hAnsiTheme="majorBidi" w:cstheme="majorBidi"/>
                <w:sz w:val="20"/>
                <w:szCs w:val="20"/>
                <w:lang w:bidi="ar-IQ"/>
              </w:rPr>
              <w:t>/ml</w:t>
            </w:r>
          </w:p>
          <w:p w:rsidR="00680E6F" w:rsidRPr="00243520" w:rsidRDefault="00680E6F" w:rsidP="00680E6F">
            <w:pPr>
              <w:spacing w:before="240" w:after="0" w:line="240" w:lineRule="auto"/>
              <w:rPr>
                <w:rFonts w:asciiTheme="majorBidi" w:hAnsiTheme="majorBidi" w:cstheme="majorBidi"/>
                <w:b/>
                <w:bCs/>
                <w:sz w:val="20"/>
                <w:szCs w:val="20"/>
                <w:lang w:bidi="ar-IQ"/>
              </w:rPr>
            </w:pPr>
          </w:p>
        </w:tc>
        <w:tc>
          <w:tcPr>
            <w:tcW w:w="844" w:type="dxa"/>
            <w:tcBorders>
              <w:top w:val="single" w:sz="2" w:space="0" w:color="auto"/>
              <w:left w:val="single" w:sz="4" w:space="0" w:color="auto"/>
              <w:bottom w:val="single" w:sz="4" w:space="0" w:color="auto"/>
              <w:right w:val="single" w:sz="4" w:space="0" w:color="auto"/>
            </w:tcBorders>
            <w:shd w:val="clear" w:color="auto" w:fill="auto"/>
          </w:tcPr>
          <w:p w:rsidR="00680E6F" w:rsidRPr="00243520" w:rsidRDefault="00680E6F" w:rsidP="00680E6F">
            <w:pPr>
              <w:spacing w:before="240"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Male</w:t>
            </w:r>
          </w:p>
        </w:tc>
        <w:tc>
          <w:tcPr>
            <w:tcW w:w="1275" w:type="dxa"/>
            <w:tcBorders>
              <w:top w:val="single" w:sz="2" w:space="0" w:color="auto"/>
              <w:left w:val="single" w:sz="4" w:space="0" w:color="auto"/>
              <w:bottom w:val="single" w:sz="4" w:space="0" w:color="auto"/>
              <w:right w:val="single" w:sz="4" w:space="0" w:color="000000"/>
            </w:tcBorders>
            <w:shd w:val="clear" w:color="auto" w:fill="auto"/>
          </w:tcPr>
          <w:p w:rsidR="00680E6F" w:rsidRPr="00243520" w:rsidRDefault="00680E6F" w:rsidP="00680E6F">
            <w:pPr>
              <w:spacing w:before="240"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 xml:space="preserve">13.37±4.13           (A)  </w:t>
            </w:r>
          </w:p>
        </w:tc>
        <w:tc>
          <w:tcPr>
            <w:tcW w:w="1418" w:type="dxa"/>
            <w:tcBorders>
              <w:top w:val="single" w:sz="4" w:space="0" w:color="auto"/>
              <w:left w:val="single" w:sz="4" w:space="0" w:color="000000"/>
              <w:bottom w:val="single" w:sz="4" w:space="0" w:color="auto"/>
              <w:right w:val="single" w:sz="4" w:space="0" w:color="auto"/>
            </w:tcBorders>
            <w:hideMark/>
          </w:tcPr>
          <w:p w:rsidR="00680E6F" w:rsidRPr="00243520" w:rsidRDefault="00680E6F" w:rsidP="00680E6F">
            <w:pPr>
              <w:spacing w:before="240"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15.68±3.4      A)</w:t>
            </w:r>
            <w:r w:rsidRPr="00243520">
              <w:rPr>
                <w:rFonts w:asciiTheme="majorBidi" w:hAnsiTheme="majorBidi" w:cstheme="majorBidi" w:hint="cs"/>
                <w:sz w:val="20"/>
                <w:szCs w:val="20"/>
                <w:rtl/>
                <w:lang w:bidi="ar-IQ"/>
              </w:rPr>
              <w:t>)</w:t>
            </w:r>
          </w:p>
        </w:tc>
        <w:tc>
          <w:tcPr>
            <w:tcW w:w="1417" w:type="dxa"/>
            <w:tcBorders>
              <w:top w:val="single" w:sz="4" w:space="0" w:color="auto"/>
              <w:left w:val="single" w:sz="4" w:space="0" w:color="auto"/>
              <w:bottom w:val="single" w:sz="4" w:space="0" w:color="auto"/>
              <w:right w:val="single" w:sz="4" w:space="0" w:color="auto"/>
            </w:tcBorders>
            <w:hideMark/>
          </w:tcPr>
          <w:p w:rsidR="00680E6F" w:rsidRPr="00243520" w:rsidRDefault="00680E6F" w:rsidP="00680E6F">
            <w:pPr>
              <w:spacing w:before="240"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15.6±3.31           (A)</w:t>
            </w:r>
          </w:p>
        </w:tc>
        <w:tc>
          <w:tcPr>
            <w:tcW w:w="1398" w:type="dxa"/>
            <w:tcBorders>
              <w:top w:val="single" w:sz="4" w:space="0" w:color="auto"/>
              <w:left w:val="single" w:sz="4" w:space="0" w:color="auto"/>
              <w:bottom w:val="single" w:sz="4" w:space="0" w:color="auto"/>
              <w:right w:val="thickThinSmallGap" w:sz="24" w:space="0" w:color="auto"/>
            </w:tcBorders>
            <w:hideMark/>
          </w:tcPr>
          <w:p w:rsidR="00680E6F" w:rsidRPr="00243520" w:rsidRDefault="00680E6F" w:rsidP="00680E6F">
            <w:pPr>
              <w:spacing w:before="240"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4.62±2.89              (B)</w:t>
            </w:r>
          </w:p>
        </w:tc>
      </w:tr>
      <w:tr w:rsidR="00680E6F" w:rsidRPr="00243520" w:rsidTr="00680E6F">
        <w:trPr>
          <w:trHeight w:val="957"/>
        </w:trPr>
        <w:tc>
          <w:tcPr>
            <w:tcW w:w="850" w:type="dxa"/>
            <w:vMerge/>
            <w:tcBorders>
              <w:left w:val="thinThickSmallGap" w:sz="24" w:space="0" w:color="auto"/>
              <w:bottom w:val="thickThinSmallGap" w:sz="24" w:space="0" w:color="auto"/>
              <w:right w:val="single" w:sz="4" w:space="0" w:color="auto"/>
            </w:tcBorders>
            <w:shd w:val="clear" w:color="auto" w:fill="auto"/>
          </w:tcPr>
          <w:p w:rsidR="00680E6F" w:rsidRPr="00243520" w:rsidRDefault="00680E6F" w:rsidP="00680E6F">
            <w:pPr>
              <w:spacing w:before="240" w:after="0" w:line="240" w:lineRule="auto"/>
              <w:jc w:val="right"/>
              <w:rPr>
                <w:rFonts w:asciiTheme="majorBidi" w:hAnsiTheme="majorBidi" w:cstheme="majorBidi"/>
                <w:sz w:val="20"/>
                <w:szCs w:val="20"/>
                <w:lang w:bidi="ar-IQ"/>
              </w:rPr>
            </w:pPr>
          </w:p>
        </w:tc>
        <w:tc>
          <w:tcPr>
            <w:tcW w:w="844" w:type="dxa"/>
            <w:tcBorders>
              <w:top w:val="single" w:sz="4" w:space="0" w:color="auto"/>
              <w:left w:val="single" w:sz="4" w:space="0" w:color="auto"/>
              <w:bottom w:val="thickThinSmallGap" w:sz="24" w:space="0" w:color="auto"/>
              <w:right w:val="single" w:sz="4" w:space="0" w:color="auto"/>
            </w:tcBorders>
            <w:shd w:val="clear" w:color="auto" w:fill="auto"/>
          </w:tcPr>
          <w:p w:rsidR="00680E6F" w:rsidRPr="00243520" w:rsidRDefault="00680E6F" w:rsidP="00680E6F">
            <w:pPr>
              <w:spacing w:before="240"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Female</w:t>
            </w:r>
          </w:p>
        </w:tc>
        <w:tc>
          <w:tcPr>
            <w:tcW w:w="1275" w:type="dxa"/>
            <w:tcBorders>
              <w:top w:val="single" w:sz="4" w:space="0" w:color="auto"/>
              <w:left w:val="single" w:sz="4" w:space="0" w:color="auto"/>
              <w:bottom w:val="thickThinSmallGap" w:sz="24" w:space="0" w:color="auto"/>
              <w:right w:val="single" w:sz="4" w:space="0" w:color="000000"/>
            </w:tcBorders>
            <w:shd w:val="clear" w:color="auto" w:fill="auto"/>
          </w:tcPr>
          <w:p w:rsidR="00680E6F" w:rsidRPr="00243520" w:rsidRDefault="00680E6F" w:rsidP="00680E6F">
            <w:pPr>
              <w:spacing w:before="240"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13.68±2.42  A)</w:t>
            </w:r>
            <w:r w:rsidRPr="00243520">
              <w:rPr>
                <w:rFonts w:asciiTheme="majorBidi" w:hAnsiTheme="majorBidi" w:cstheme="majorBidi" w:hint="cs"/>
                <w:sz w:val="20"/>
                <w:szCs w:val="20"/>
                <w:rtl/>
                <w:lang w:bidi="ar-IQ"/>
              </w:rPr>
              <w:t>)</w:t>
            </w:r>
          </w:p>
        </w:tc>
        <w:tc>
          <w:tcPr>
            <w:tcW w:w="1418" w:type="dxa"/>
            <w:tcBorders>
              <w:top w:val="single" w:sz="4" w:space="0" w:color="auto"/>
              <w:left w:val="single" w:sz="4" w:space="0" w:color="000000"/>
              <w:bottom w:val="thickThinSmallGap" w:sz="24" w:space="0" w:color="auto"/>
              <w:right w:val="single" w:sz="4" w:space="0" w:color="auto"/>
            </w:tcBorders>
            <w:hideMark/>
          </w:tcPr>
          <w:p w:rsidR="00680E6F" w:rsidRPr="00243520" w:rsidRDefault="00680E6F" w:rsidP="00680E6F">
            <w:pPr>
              <w:spacing w:before="240"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12.86±3.14    (A)</w:t>
            </w:r>
          </w:p>
        </w:tc>
        <w:tc>
          <w:tcPr>
            <w:tcW w:w="1417" w:type="dxa"/>
            <w:tcBorders>
              <w:top w:val="single" w:sz="4" w:space="0" w:color="auto"/>
              <w:left w:val="single" w:sz="4" w:space="0" w:color="auto"/>
              <w:bottom w:val="thickThinSmallGap" w:sz="24" w:space="0" w:color="auto"/>
              <w:right w:val="single" w:sz="4" w:space="0" w:color="auto"/>
            </w:tcBorders>
            <w:hideMark/>
          </w:tcPr>
          <w:p w:rsidR="00680E6F" w:rsidRPr="00243520" w:rsidRDefault="00680E6F" w:rsidP="00680E6F">
            <w:pPr>
              <w:spacing w:before="240"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12.66±2.56    A)</w:t>
            </w:r>
            <w:r w:rsidRPr="00243520">
              <w:rPr>
                <w:rFonts w:asciiTheme="majorBidi" w:hAnsiTheme="majorBidi" w:cstheme="majorBidi" w:hint="cs"/>
                <w:sz w:val="20"/>
                <w:szCs w:val="20"/>
                <w:rtl/>
                <w:lang w:bidi="ar-IQ"/>
              </w:rPr>
              <w:t>)</w:t>
            </w:r>
          </w:p>
        </w:tc>
        <w:tc>
          <w:tcPr>
            <w:tcW w:w="1398" w:type="dxa"/>
            <w:tcBorders>
              <w:top w:val="single" w:sz="4" w:space="0" w:color="auto"/>
              <w:left w:val="single" w:sz="4" w:space="0" w:color="auto"/>
              <w:bottom w:val="thickThinSmallGap" w:sz="24" w:space="0" w:color="auto"/>
              <w:right w:val="thickThinSmallGap" w:sz="24" w:space="0" w:color="auto"/>
            </w:tcBorders>
            <w:hideMark/>
          </w:tcPr>
          <w:p w:rsidR="00680E6F" w:rsidRPr="00243520" w:rsidRDefault="00680E6F" w:rsidP="00680E6F">
            <w:pPr>
              <w:spacing w:before="240"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5.67±4.75               (B)</w:t>
            </w:r>
          </w:p>
        </w:tc>
      </w:tr>
    </w:tbl>
    <w:p w:rsidR="00680E6F" w:rsidRDefault="005C39E3" w:rsidP="00680E6F">
      <w:pPr>
        <w:bidi w:val="0"/>
        <w:spacing w:line="240" w:lineRule="auto"/>
        <w:ind w:right="-192"/>
        <w:jc w:val="both"/>
        <w:rPr>
          <w:rFonts w:ascii="Times New Roman" w:hAnsi="Times New Roman" w:cs="Times New Roman"/>
          <w:sz w:val="24"/>
          <w:szCs w:val="24"/>
        </w:rPr>
      </w:pPr>
      <w:r w:rsidRPr="005C39E3">
        <w:rPr>
          <w:rFonts w:ascii="Times New Roman" w:hAnsi="Times New Roman" w:cs="Times New Roman"/>
          <w:b/>
          <w:bCs/>
          <w:sz w:val="24"/>
          <w:szCs w:val="24"/>
          <w:u w:val="single"/>
        </w:rPr>
        <w:t>Table 3</w:t>
      </w:r>
      <w:r>
        <w:rPr>
          <w:rFonts w:ascii="Times New Roman" w:hAnsi="Times New Roman" w:cs="Times New Roman"/>
          <w:b/>
          <w:bCs/>
          <w:sz w:val="24"/>
          <w:szCs w:val="24"/>
        </w:rPr>
        <w:t xml:space="preserve"> </w:t>
      </w:r>
      <w:r w:rsidR="003358BE" w:rsidRPr="005C39E3">
        <w:rPr>
          <w:rFonts w:ascii="Times New Roman" w:hAnsi="Times New Roman" w:cs="Times New Roman"/>
          <w:sz w:val="24"/>
          <w:szCs w:val="24"/>
        </w:rPr>
        <w:t xml:space="preserve">Mean values of </w:t>
      </w:r>
      <w:r w:rsidR="00AD765C" w:rsidRPr="005C39E3">
        <w:rPr>
          <w:rFonts w:asciiTheme="majorBidi" w:hAnsiTheme="majorBidi" w:cstheme="majorBidi"/>
          <w:sz w:val="24"/>
          <w:szCs w:val="24"/>
          <w:lang w:bidi="ar-IQ"/>
        </w:rPr>
        <w:t>l</w:t>
      </w:r>
      <w:r w:rsidR="003358BE" w:rsidRPr="005C39E3">
        <w:rPr>
          <w:rFonts w:asciiTheme="majorBidi" w:hAnsiTheme="majorBidi" w:cstheme="majorBidi"/>
          <w:sz w:val="24"/>
          <w:szCs w:val="24"/>
          <w:lang w:bidi="ar-IQ"/>
        </w:rPr>
        <w:t xml:space="preserve">uteinizing hormone </w:t>
      </w:r>
      <w:r w:rsidR="00AD765C" w:rsidRPr="005C39E3">
        <w:rPr>
          <w:rFonts w:ascii="Times New Roman" w:hAnsi="Times New Roman" w:cs="Times New Roman"/>
          <w:sz w:val="24"/>
          <w:szCs w:val="24"/>
        </w:rPr>
        <w:t xml:space="preserve">of CRF  patients   </w:t>
      </w:r>
      <w:r w:rsidR="003358BE" w:rsidRPr="005C39E3">
        <w:rPr>
          <w:rFonts w:ascii="Times New Roman" w:hAnsi="Times New Roman" w:cs="Times New Roman"/>
          <w:sz w:val="24"/>
          <w:szCs w:val="24"/>
        </w:rPr>
        <w:t xml:space="preserve"> group and con</w:t>
      </w:r>
      <w:r w:rsidR="00AD765C" w:rsidRPr="005C39E3">
        <w:rPr>
          <w:rFonts w:ascii="Times New Roman" w:hAnsi="Times New Roman" w:cs="Times New Roman"/>
          <w:sz w:val="24"/>
          <w:szCs w:val="24"/>
        </w:rPr>
        <w:t>trol group</w:t>
      </w:r>
    </w:p>
    <w:p w:rsidR="00680E6F" w:rsidRDefault="00680E6F" w:rsidP="00680E6F">
      <w:pPr>
        <w:bidi w:val="0"/>
        <w:spacing w:line="360" w:lineRule="auto"/>
        <w:ind w:right="-192"/>
        <w:jc w:val="both"/>
        <w:rPr>
          <w:rFonts w:ascii="Times New Roman" w:hAnsi="Times New Roman" w:cs="Times New Roman"/>
          <w:sz w:val="24"/>
          <w:szCs w:val="24"/>
        </w:rPr>
      </w:pPr>
    </w:p>
    <w:p w:rsidR="003358BE" w:rsidRPr="00680E6F" w:rsidRDefault="005C39E3" w:rsidP="00680E6F">
      <w:pPr>
        <w:bidi w:val="0"/>
        <w:spacing w:after="0" w:line="240" w:lineRule="auto"/>
        <w:ind w:right="-192"/>
        <w:jc w:val="both"/>
        <w:rPr>
          <w:rFonts w:ascii="Times New Roman" w:hAnsi="Times New Roman" w:cs="Times New Roman"/>
          <w:sz w:val="24"/>
          <w:szCs w:val="24"/>
        </w:rPr>
      </w:pPr>
      <w:r w:rsidRPr="005C39E3">
        <w:rPr>
          <w:rFonts w:ascii="Times New Roman" w:hAnsi="Times New Roman" w:cs="Times New Roman"/>
          <w:b/>
          <w:bCs/>
          <w:u w:val="single"/>
        </w:rPr>
        <w:t>Table 4</w:t>
      </w:r>
      <w:r w:rsidR="001D035E">
        <w:rPr>
          <w:rFonts w:ascii="Times New Roman" w:hAnsi="Times New Roman" w:cs="Times New Roman"/>
          <w:b/>
          <w:bCs/>
        </w:rPr>
        <w:t xml:space="preserve"> </w:t>
      </w:r>
      <w:r w:rsidR="001D035E" w:rsidRPr="005C39E3">
        <w:rPr>
          <w:rFonts w:ascii="Times New Roman" w:hAnsi="Times New Roman" w:cs="Times New Roman"/>
        </w:rPr>
        <w:t>The values of e</w:t>
      </w:r>
      <w:r w:rsidR="003358BE" w:rsidRPr="005C39E3">
        <w:rPr>
          <w:rFonts w:ascii="Times New Roman" w:hAnsi="Times New Roman" w:cs="Times New Roman"/>
        </w:rPr>
        <w:t>stradiol hormone  of CRF  patients  group   and con</w:t>
      </w:r>
      <w:r w:rsidR="00AD765C" w:rsidRPr="005C39E3">
        <w:rPr>
          <w:rFonts w:ascii="Times New Roman" w:hAnsi="Times New Roman" w:cs="Times New Roman"/>
        </w:rPr>
        <w:t>trol group</w:t>
      </w:r>
      <w:r w:rsidR="003358BE" w:rsidRPr="005C39E3">
        <w:rPr>
          <w:rFonts w:ascii="Times New Roman" w:hAnsi="Times New Roman" w:cs="Times New Roman"/>
        </w:rPr>
        <w:t>.</w:t>
      </w:r>
    </w:p>
    <w:tbl>
      <w:tblPr>
        <w:tblpPr w:leftFromText="180" w:rightFromText="180" w:vertAnchor="text" w:horzAnchor="margin" w:tblpXSpec="center" w:tblpY="291"/>
        <w:tblW w:w="7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951"/>
        <w:gridCol w:w="1340"/>
        <w:gridCol w:w="1327"/>
        <w:gridCol w:w="1327"/>
        <w:gridCol w:w="1376"/>
      </w:tblGrid>
      <w:tr w:rsidR="00AD765C" w:rsidRPr="00243520" w:rsidTr="005C39E3">
        <w:trPr>
          <w:trHeight w:val="616"/>
        </w:trPr>
        <w:tc>
          <w:tcPr>
            <w:tcW w:w="2035" w:type="dxa"/>
            <w:gridSpan w:val="2"/>
            <w:vMerge w:val="restart"/>
            <w:tcBorders>
              <w:top w:val="thinThickSmallGap" w:sz="24" w:space="0" w:color="auto"/>
              <w:left w:val="thinThickSmallGap" w:sz="24" w:space="0" w:color="auto"/>
              <w:right w:val="single" w:sz="4" w:space="0" w:color="auto"/>
            </w:tcBorders>
            <w:shd w:val="clear" w:color="auto" w:fill="D9D9D9" w:themeFill="background1" w:themeFillShade="D9"/>
          </w:tcPr>
          <w:p w:rsidR="00AD765C" w:rsidRPr="00243520" w:rsidRDefault="00AD765C" w:rsidP="005C39E3">
            <w:pPr>
              <w:spacing w:after="0" w:line="240" w:lineRule="auto"/>
              <w:jc w:val="center"/>
              <w:rPr>
                <w:rFonts w:ascii="Times New Roman" w:hAnsi="Times New Roman" w:cs="Times New Roman"/>
                <w:b/>
                <w:bCs/>
                <w:sz w:val="20"/>
                <w:szCs w:val="20"/>
                <w:lang w:bidi="ar-IQ"/>
              </w:rPr>
            </w:pPr>
          </w:p>
          <w:p w:rsidR="00AD765C" w:rsidRPr="00243520" w:rsidRDefault="00AD765C" w:rsidP="005C39E3">
            <w:pPr>
              <w:spacing w:after="0" w:line="240" w:lineRule="auto"/>
              <w:jc w:val="center"/>
              <w:rPr>
                <w:rFonts w:ascii="Times New Roman" w:hAnsi="Times New Roman" w:cs="Times New Roman"/>
                <w:sz w:val="20"/>
                <w:szCs w:val="20"/>
                <w:lang w:bidi="ar-IQ"/>
              </w:rPr>
            </w:pPr>
            <w:r w:rsidRPr="00243520">
              <w:rPr>
                <w:rFonts w:ascii="Times New Roman" w:hAnsi="Times New Roman" w:cs="Times New Roman"/>
                <w:b/>
                <w:bCs/>
                <w:sz w:val="20"/>
                <w:szCs w:val="20"/>
                <w:lang w:bidi="ar-IQ"/>
              </w:rPr>
              <w:t>Hormone</w:t>
            </w:r>
          </w:p>
        </w:tc>
        <w:tc>
          <w:tcPr>
            <w:tcW w:w="3994" w:type="dxa"/>
            <w:gridSpan w:val="3"/>
            <w:tcBorders>
              <w:top w:val="thinThickSmallGap" w:sz="24" w:space="0" w:color="auto"/>
              <w:left w:val="single" w:sz="4" w:space="0" w:color="auto"/>
              <w:right w:val="single" w:sz="4" w:space="0" w:color="auto"/>
            </w:tcBorders>
            <w:shd w:val="clear" w:color="auto" w:fill="D9D9D9" w:themeFill="background1" w:themeFillShade="D9"/>
          </w:tcPr>
          <w:p w:rsidR="00AD765C" w:rsidRPr="00243520" w:rsidRDefault="00AD765C" w:rsidP="005C39E3">
            <w:pPr>
              <w:tabs>
                <w:tab w:val="left" w:pos="4245"/>
              </w:tabs>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Patients with CRF</w:t>
            </w:r>
          </w:p>
          <w:p w:rsidR="00AD765C" w:rsidRPr="00243520" w:rsidRDefault="00AD765C" w:rsidP="005C39E3">
            <w:pPr>
              <w:tabs>
                <w:tab w:val="left" w:pos="4245"/>
              </w:tabs>
              <w:spacing w:after="0" w:line="240" w:lineRule="auto"/>
              <w:jc w:val="center"/>
              <w:rPr>
                <w:rFonts w:ascii="Times New Roman" w:hAnsi="Times New Roman" w:cs="Times New Roman"/>
                <w:b/>
                <w:bCs/>
                <w:sz w:val="20"/>
                <w:szCs w:val="20"/>
                <w:rtl/>
                <w:lang w:bidi="ar-IQ"/>
              </w:rPr>
            </w:pPr>
            <w:r w:rsidRPr="00243520">
              <w:rPr>
                <w:rFonts w:ascii="Times New Roman" w:hAnsi="Times New Roman" w:cs="Times New Roman"/>
                <w:b/>
                <w:bCs/>
                <w:sz w:val="20"/>
                <w:szCs w:val="20"/>
              </w:rPr>
              <w:t>(duration of dialysis in months)</w:t>
            </w:r>
          </w:p>
        </w:tc>
        <w:tc>
          <w:tcPr>
            <w:tcW w:w="1376" w:type="dxa"/>
            <w:tcBorders>
              <w:top w:val="thinThickSmallGap" w:sz="24" w:space="0" w:color="auto"/>
              <w:left w:val="single" w:sz="4" w:space="0" w:color="auto"/>
              <w:right w:val="thinThickSmallGap" w:sz="24" w:space="0" w:color="auto"/>
            </w:tcBorders>
            <w:shd w:val="clear" w:color="auto" w:fill="D9D9D9" w:themeFill="background1" w:themeFillShade="D9"/>
          </w:tcPr>
          <w:p w:rsidR="00AD765C" w:rsidRPr="00243520" w:rsidRDefault="00AD765C" w:rsidP="005C39E3">
            <w:pPr>
              <w:spacing w:after="0" w:line="240" w:lineRule="auto"/>
              <w:jc w:val="center"/>
              <w:rPr>
                <w:rFonts w:ascii="Times New Roman" w:hAnsi="Times New Roman" w:cs="Times New Roman"/>
                <w:b/>
                <w:bCs/>
                <w:sz w:val="20"/>
                <w:szCs w:val="20"/>
                <w:lang w:bidi="ar-IQ"/>
              </w:rPr>
            </w:pPr>
            <w:r w:rsidRPr="00243520">
              <w:rPr>
                <w:rFonts w:ascii="Times New Roman" w:hAnsi="Times New Roman" w:cs="Times New Roman"/>
                <w:b/>
                <w:bCs/>
                <w:sz w:val="20"/>
                <w:szCs w:val="20"/>
                <w:lang w:bidi="ar-IQ"/>
              </w:rPr>
              <w:t>Healthy subjects</w:t>
            </w:r>
          </w:p>
        </w:tc>
      </w:tr>
      <w:tr w:rsidR="00AD765C" w:rsidRPr="00243520" w:rsidTr="005C39E3">
        <w:trPr>
          <w:trHeight w:val="564"/>
        </w:trPr>
        <w:tc>
          <w:tcPr>
            <w:tcW w:w="2035" w:type="dxa"/>
            <w:gridSpan w:val="2"/>
            <w:vMerge/>
            <w:tcBorders>
              <w:left w:val="thinThickSmallGap" w:sz="24" w:space="0" w:color="auto"/>
              <w:right w:val="single" w:sz="4" w:space="0" w:color="auto"/>
            </w:tcBorders>
            <w:shd w:val="clear" w:color="auto" w:fill="D9D9D9" w:themeFill="background1" w:themeFillShade="D9"/>
          </w:tcPr>
          <w:p w:rsidR="00AD765C" w:rsidRPr="00243520" w:rsidRDefault="00AD765C" w:rsidP="005C39E3">
            <w:pPr>
              <w:spacing w:after="0" w:line="240" w:lineRule="auto"/>
              <w:ind w:left="694"/>
              <w:jc w:val="right"/>
              <w:rPr>
                <w:rFonts w:ascii="Times New Roman" w:hAnsi="Times New Roman" w:cs="Times New Roman"/>
                <w:b/>
                <w:bCs/>
                <w:sz w:val="20"/>
                <w:szCs w:val="20"/>
                <w:rtl/>
              </w:rPr>
            </w:pPr>
          </w:p>
        </w:tc>
        <w:tc>
          <w:tcPr>
            <w:tcW w:w="1340" w:type="dxa"/>
            <w:tcBorders>
              <w:top w:val="single" w:sz="4" w:space="0" w:color="auto"/>
              <w:left w:val="single" w:sz="4" w:space="0" w:color="auto"/>
              <w:right w:val="single" w:sz="4" w:space="0" w:color="auto"/>
            </w:tcBorders>
            <w:shd w:val="clear" w:color="auto" w:fill="D9D9D9" w:themeFill="background1" w:themeFillShade="D9"/>
          </w:tcPr>
          <w:p w:rsidR="00AD765C" w:rsidRPr="00243520" w:rsidRDefault="00AD765C" w:rsidP="005C39E3">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&lt;18 months (group1)</w:t>
            </w:r>
          </w:p>
        </w:tc>
        <w:tc>
          <w:tcPr>
            <w:tcW w:w="1327" w:type="dxa"/>
            <w:tcBorders>
              <w:top w:val="single" w:sz="4" w:space="0" w:color="auto"/>
              <w:left w:val="single" w:sz="4" w:space="0" w:color="auto"/>
              <w:right w:val="single" w:sz="4" w:space="0" w:color="auto"/>
            </w:tcBorders>
            <w:shd w:val="clear" w:color="auto" w:fill="D9D9D9" w:themeFill="background1" w:themeFillShade="D9"/>
          </w:tcPr>
          <w:p w:rsidR="00AD765C" w:rsidRPr="00243520" w:rsidRDefault="00AD765C" w:rsidP="005C39E3">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18- 36 months (group2)</w:t>
            </w:r>
          </w:p>
        </w:tc>
        <w:tc>
          <w:tcPr>
            <w:tcW w:w="1327" w:type="dxa"/>
            <w:tcBorders>
              <w:top w:val="single" w:sz="4" w:space="0" w:color="auto"/>
              <w:left w:val="single" w:sz="4" w:space="0" w:color="auto"/>
              <w:right w:val="single" w:sz="4" w:space="0" w:color="auto"/>
            </w:tcBorders>
            <w:shd w:val="clear" w:color="auto" w:fill="D9D9D9" w:themeFill="background1" w:themeFillShade="D9"/>
          </w:tcPr>
          <w:p w:rsidR="00AD765C" w:rsidRPr="00243520" w:rsidRDefault="00AD765C" w:rsidP="005C39E3">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36-54 months (group3)</w:t>
            </w:r>
          </w:p>
        </w:tc>
        <w:tc>
          <w:tcPr>
            <w:tcW w:w="1376" w:type="dxa"/>
            <w:tcBorders>
              <w:top w:val="single" w:sz="4" w:space="0" w:color="auto"/>
              <w:left w:val="single" w:sz="4" w:space="0" w:color="auto"/>
              <w:right w:val="thinThickSmallGap" w:sz="24" w:space="0" w:color="auto"/>
            </w:tcBorders>
            <w:shd w:val="clear" w:color="auto" w:fill="D9D9D9" w:themeFill="background1" w:themeFillShade="D9"/>
          </w:tcPr>
          <w:p w:rsidR="00AD765C" w:rsidRPr="00243520" w:rsidRDefault="00AD765C" w:rsidP="005C39E3">
            <w:pPr>
              <w:spacing w:after="0" w:line="240" w:lineRule="auto"/>
              <w:jc w:val="center"/>
              <w:rPr>
                <w:rFonts w:ascii="Times New Roman" w:hAnsi="Times New Roman" w:cs="Times New Roman"/>
                <w:b/>
                <w:bCs/>
                <w:sz w:val="20"/>
                <w:szCs w:val="20"/>
                <w:lang w:bidi="ar-IQ"/>
              </w:rPr>
            </w:pPr>
            <w:r w:rsidRPr="00243520">
              <w:rPr>
                <w:rFonts w:ascii="Times New Roman" w:hAnsi="Times New Roman" w:cs="Times New Roman"/>
                <w:b/>
                <w:bCs/>
                <w:sz w:val="20"/>
                <w:szCs w:val="20"/>
                <w:lang w:bidi="ar-IQ"/>
              </w:rPr>
              <w:t>Control (group4)</w:t>
            </w:r>
          </w:p>
        </w:tc>
      </w:tr>
      <w:tr w:rsidR="00AD765C" w:rsidRPr="00243520" w:rsidTr="005C39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74"/>
        </w:trPr>
        <w:tc>
          <w:tcPr>
            <w:tcW w:w="1084" w:type="dxa"/>
            <w:vMerge w:val="restart"/>
            <w:tcBorders>
              <w:top w:val="single" w:sz="4" w:space="0" w:color="auto"/>
              <w:left w:val="thinThickSmallGap" w:sz="24" w:space="0" w:color="auto"/>
              <w:right w:val="single" w:sz="4" w:space="0" w:color="auto"/>
            </w:tcBorders>
            <w:hideMark/>
          </w:tcPr>
          <w:p w:rsidR="00AD765C" w:rsidRPr="00243520" w:rsidRDefault="00AD765C" w:rsidP="005C39E3">
            <w:pPr>
              <w:bidi w:val="0"/>
              <w:spacing w:before="240" w:after="0" w:line="240" w:lineRule="auto"/>
              <w:jc w:val="center"/>
              <w:rPr>
                <w:rFonts w:ascii="Times New Roman" w:hAnsi="Times New Roman" w:cs="Times New Roman"/>
                <w:b/>
                <w:bCs/>
                <w:sz w:val="20"/>
                <w:szCs w:val="20"/>
              </w:rPr>
            </w:pPr>
          </w:p>
          <w:p w:rsidR="00AD765C" w:rsidRPr="00243520" w:rsidRDefault="00AD765C" w:rsidP="005C39E3">
            <w:pPr>
              <w:bidi w:val="0"/>
              <w:spacing w:before="240"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 xml:space="preserve">Estradiol </w:t>
            </w:r>
            <w:r w:rsidRPr="00243520">
              <w:rPr>
                <w:rFonts w:ascii="Times New Roman" w:hAnsi="Times New Roman" w:cs="Times New Roman"/>
                <w:sz w:val="20"/>
                <w:szCs w:val="20"/>
              </w:rPr>
              <w:t>(pg/ml)</w:t>
            </w:r>
          </w:p>
        </w:tc>
        <w:tc>
          <w:tcPr>
            <w:tcW w:w="951" w:type="dxa"/>
            <w:tcBorders>
              <w:top w:val="single" w:sz="4" w:space="0" w:color="auto"/>
              <w:left w:val="single" w:sz="4" w:space="0" w:color="auto"/>
              <w:bottom w:val="single" w:sz="4" w:space="0" w:color="auto"/>
              <w:right w:val="single" w:sz="4" w:space="0" w:color="auto"/>
            </w:tcBorders>
          </w:tcPr>
          <w:p w:rsidR="00AD765C" w:rsidRPr="00243520" w:rsidRDefault="00AD765C" w:rsidP="005C39E3">
            <w:pPr>
              <w:bidi w:val="0"/>
              <w:spacing w:before="240"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Male</w:t>
            </w:r>
          </w:p>
        </w:tc>
        <w:tc>
          <w:tcPr>
            <w:tcW w:w="1340" w:type="dxa"/>
            <w:tcBorders>
              <w:top w:val="single" w:sz="4" w:space="0" w:color="auto"/>
              <w:left w:val="single" w:sz="4" w:space="0" w:color="auto"/>
              <w:bottom w:val="single" w:sz="4" w:space="0" w:color="auto"/>
              <w:right w:val="single" w:sz="4" w:space="0" w:color="000000"/>
            </w:tcBorders>
            <w:hideMark/>
          </w:tcPr>
          <w:p w:rsidR="00AD765C" w:rsidRPr="00243520" w:rsidRDefault="00AD765C" w:rsidP="005C39E3">
            <w:pPr>
              <w:spacing w:before="240"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60.64±19.29  (A)</w:t>
            </w:r>
          </w:p>
        </w:tc>
        <w:tc>
          <w:tcPr>
            <w:tcW w:w="1327" w:type="dxa"/>
            <w:tcBorders>
              <w:top w:val="single" w:sz="4" w:space="0" w:color="auto"/>
              <w:left w:val="single" w:sz="4" w:space="0" w:color="000000"/>
              <w:bottom w:val="single" w:sz="4" w:space="0" w:color="auto"/>
              <w:right w:val="single" w:sz="4" w:space="0" w:color="auto"/>
            </w:tcBorders>
            <w:hideMark/>
          </w:tcPr>
          <w:p w:rsidR="00AD765C" w:rsidRPr="00243520" w:rsidRDefault="00AD765C" w:rsidP="005C39E3">
            <w:pPr>
              <w:spacing w:before="240"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68.2</w:t>
            </w:r>
            <w:r w:rsidRPr="00243520">
              <w:rPr>
                <w:rFonts w:ascii="Calibri" w:hAnsi="Calibri" w:cs="Calibri"/>
                <w:sz w:val="20"/>
                <w:szCs w:val="20"/>
                <w:lang w:bidi="ar-IQ"/>
              </w:rPr>
              <w:t>±</w:t>
            </w:r>
            <w:r w:rsidRPr="00243520">
              <w:rPr>
                <w:rFonts w:asciiTheme="majorBidi" w:hAnsiTheme="majorBidi" w:cstheme="majorBidi"/>
                <w:sz w:val="20"/>
                <w:szCs w:val="20"/>
                <w:lang w:bidi="ar-IQ"/>
              </w:rPr>
              <w:t>16.41      (A)</w:t>
            </w:r>
          </w:p>
        </w:tc>
        <w:tc>
          <w:tcPr>
            <w:tcW w:w="1327" w:type="dxa"/>
            <w:tcBorders>
              <w:top w:val="single" w:sz="4" w:space="0" w:color="auto"/>
              <w:left w:val="single" w:sz="4" w:space="0" w:color="auto"/>
              <w:bottom w:val="single" w:sz="4" w:space="0" w:color="auto"/>
              <w:right w:val="single" w:sz="4" w:space="0" w:color="auto"/>
            </w:tcBorders>
            <w:hideMark/>
          </w:tcPr>
          <w:p w:rsidR="00AD765C" w:rsidRPr="00243520" w:rsidRDefault="00AD765C" w:rsidP="005C39E3">
            <w:pPr>
              <w:spacing w:before="240"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64.7±16.9      A)</w:t>
            </w:r>
            <w:r w:rsidRPr="00243520">
              <w:rPr>
                <w:rFonts w:asciiTheme="majorBidi" w:hAnsiTheme="majorBidi" w:cstheme="majorBidi" w:hint="cs"/>
                <w:sz w:val="20"/>
                <w:szCs w:val="20"/>
                <w:rtl/>
                <w:lang w:bidi="ar-IQ"/>
              </w:rPr>
              <w:t>)</w:t>
            </w:r>
          </w:p>
        </w:tc>
        <w:tc>
          <w:tcPr>
            <w:tcW w:w="1376" w:type="dxa"/>
            <w:tcBorders>
              <w:top w:val="single" w:sz="4" w:space="0" w:color="auto"/>
              <w:left w:val="single" w:sz="4" w:space="0" w:color="auto"/>
              <w:bottom w:val="single" w:sz="4" w:space="0" w:color="auto"/>
              <w:right w:val="thickThinSmallGap" w:sz="24" w:space="0" w:color="auto"/>
            </w:tcBorders>
            <w:hideMark/>
          </w:tcPr>
          <w:p w:rsidR="00AD765C" w:rsidRPr="00243520" w:rsidRDefault="00AD765C" w:rsidP="005C39E3">
            <w:pPr>
              <w:spacing w:before="240"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47.59±11.11   (B)</w:t>
            </w:r>
          </w:p>
        </w:tc>
      </w:tr>
      <w:tr w:rsidR="00AD765C" w:rsidRPr="00243520" w:rsidTr="005C39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908"/>
        </w:trPr>
        <w:tc>
          <w:tcPr>
            <w:tcW w:w="1084" w:type="dxa"/>
            <w:vMerge/>
            <w:tcBorders>
              <w:left w:val="thinThickSmallGap" w:sz="24" w:space="0" w:color="auto"/>
              <w:bottom w:val="thickThinSmallGap" w:sz="24" w:space="0" w:color="auto"/>
              <w:right w:val="single" w:sz="4" w:space="0" w:color="auto"/>
            </w:tcBorders>
            <w:hideMark/>
          </w:tcPr>
          <w:p w:rsidR="00AD765C" w:rsidRPr="00243520" w:rsidRDefault="00AD765C" w:rsidP="005C39E3">
            <w:pPr>
              <w:bidi w:val="0"/>
              <w:spacing w:before="240" w:after="0" w:line="240" w:lineRule="auto"/>
              <w:jc w:val="center"/>
              <w:rPr>
                <w:rFonts w:ascii="Times New Roman" w:hAnsi="Times New Roman" w:cs="Times New Roman"/>
                <w:b/>
                <w:bCs/>
                <w:sz w:val="20"/>
                <w:szCs w:val="20"/>
              </w:rPr>
            </w:pPr>
          </w:p>
        </w:tc>
        <w:tc>
          <w:tcPr>
            <w:tcW w:w="951" w:type="dxa"/>
            <w:tcBorders>
              <w:top w:val="single" w:sz="4" w:space="0" w:color="auto"/>
              <w:left w:val="single" w:sz="4" w:space="0" w:color="auto"/>
              <w:bottom w:val="thickThinSmallGap" w:sz="24" w:space="0" w:color="auto"/>
              <w:right w:val="single" w:sz="4" w:space="0" w:color="auto"/>
            </w:tcBorders>
          </w:tcPr>
          <w:p w:rsidR="00AD765C" w:rsidRPr="00243520" w:rsidRDefault="00AD765C" w:rsidP="005C39E3">
            <w:pPr>
              <w:bidi w:val="0"/>
              <w:spacing w:before="240"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Female</w:t>
            </w:r>
          </w:p>
        </w:tc>
        <w:tc>
          <w:tcPr>
            <w:tcW w:w="1340" w:type="dxa"/>
            <w:tcBorders>
              <w:top w:val="single" w:sz="4" w:space="0" w:color="auto"/>
              <w:left w:val="single" w:sz="4" w:space="0" w:color="auto"/>
              <w:bottom w:val="thickThinSmallGap" w:sz="24" w:space="0" w:color="auto"/>
              <w:right w:val="single" w:sz="4" w:space="0" w:color="000000"/>
            </w:tcBorders>
            <w:hideMark/>
          </w:tcPr>
          <w:p w:rsidR="00AD765C" w:rsidRPr="00243520" w:rsidRDefault="00AD765C" w:rsidP="005C39E3">
            <w:pPr>
              <w:spacing w:before="240"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55.76±20.63  A)</w:t>
            </w:r>
            <w:r w:rsidRPr="00243520">
              <w:rPr>
                <w:rFonts w:asciiTheme="majorBidi" w:hAnsiTheme="majorBidi" w:cstheme="majorBidi" w:hint="cs"/>
                <w:sz w:val="20"/>
                <w:szCs w:val="20"/>
                <w:rtl/>
                <w:lang w:bidi="ar-IQ"/>
              </w:rPr>
              <w:t>)</w:t>
            </w:r>
          </w:p>
        </w:tc>
        <w:tc>
          <w:tcPr>
            <w:tcW w:w="1327" w:type="dxa"/>
            <w:tcBorders>
              <w:top w:val="single" w:sz="4" w:space="0" w:color="auto"/>
              <w:left w:val="single" w:sz="4" w:space="0" w:color="000000"/>
              <w:bottom w:val="thickThinSmallGap" w:sz="24" w:space="0" w:color="auto"/>
              <w:right w:val="single" w:sz="4" w:space="0" w:color="auto"/>
            </w:tcBorders>
            <w:hideMark/>
          </w:tcPr>
          <w:p w:rsidR="00AD765C" w:rsidRPr="00243520" w:rsidRDefault="00AD765C" w:rsidP="005C39E3">
            <w:pPr>
              <w:spacing w:before="240"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47.07±30.18  A)</w:t>
            </w:r>
            <w:r w:rsidRPr="00243520">
              <w:rPr>
                <w:rFonts w:asciiTheme="majorBidi" w:hAnsiTheme="majorBidi" w:cstheme="majorBidi" w:hint="cs"/>
                <w:sz w:val="20"/>
                <w:szCs w:val="20"/>
                <w:rtl/>
                <w:lang w:bidi="ar-IQ"/>
              </w:rPr>
              <w:t>)</w:t>
            </w:r>
          </w:p>
        </w:tc>
        <w:tc>
          <w:tcPr>
            <w:tcW w:w="1327" w:type="dxa"/>
            <w:tcBorders>
              <w:top w:val="single" w:sz="4" w:space="0" w:color="auto"/>
              <w:left w:val="single" w:sz="4" w:space="0" w:color="auto"/>
              <w:bottom w:val="thickThinSmallGap" w:sz="24" w:space="0" w:color="auto"/>
              <w:right w:val="single" w:sz="4" w:space="0" w:color="auto"/>
            </w:tcBorders>
            <w:hideMark/>
          </w:tcPr>
          <w:p w:rsidR="00AD765C" w:rsidRPr="00243520" w:rsidRDefault="00AD765C" w:rsidP="005C39E3">
            <w:pPr>
              <w:spacing w:before="240"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49.91±28.05  (A)</w:t>
            </w:r>
          </w:p>
        </w:tc>
        <w:tc>
          <w:tcPr>
            <w:tcW w:w="1376" w:type="dxa"/>
            <w:tcBorders>
              <w:top w:val="single" w:sz="4" w:space="0" w:color="auto"/>
              <w:left w:val="single" w:sz="4" w:space="0" w:color="auto"/>
              <w:bottom w:val="thickThinSmallGap" w:sz="24" w:space="0" w:color="auto"/>
              <w:right w:val="thickThinSmallGap" w:sz="24" w:space="0" w:color="auto"/>
            </w:tcBorders>
            <w:hideMark/>
          </w:tcPr>
          <w:p w:rsidR="00AD765C" w:rsidRPr="00243520" w:rsidRDefault="00AD765C" w:rsidP="005C39E3">
            <w:pPr>
              <w:spacing w:before="240"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147.8±48.93 (B)</w:t>
            </w:r>
          </w:p>
        </w:tc>
      </w:tr>
    </w:tbl>
    <w:p w:rsidR="00B034CB" w:rsidRPr="00D9248D" w:rsidRDefault="00B034CB" w:rsidP="00B034CB">
      <w:pPr>
        <w:bidi w:val="0"/>
        <w:spacing w:line="360" w:lineRule="auto"/>
        <w:ind w:right="-192"/>
        <w:jc w:val="center"/>
        <w:rPr>
          <w:rFonts w:ascii="Times New Roman" w:hAnsi="Times New Roman" w:cs="Times New Roman"/>
          <w:b/>
          <w:bCs/>
        </w:rPr>
      </w:pPr>
    </w:p>
    <w:p w:rsidR="00CE2CAC" w:rsidRPr="002339A7" w:rsidRDefault="00CE2CAC" w:rsidP="00B034CB">
      <w:pPr>
        <w:tabs>
          <w:tab w:val="right" w:pos="6804"/>
        </w:tabs>
        <w:bidi w:val="0"/>
        <w:spacing w:after="0" w:line="240" w:lineRule="auto"/>
        <w:rPr>
          <w:rFonts w:ascii="Times New Roman" w:hAnsi="Times New Roman" w:cs="Times New Roman"/>
          <w:sz w:val="24"/>
          <w:szCs w:val="24"/>
          <w:rtl/>
          <w:lang w:bidi="ar-IQ"/>
        </w:rPr>
      </w:pPr>
    </w:p>
    <w:p w:rsidR="005C39E3" w:rsidRDefault="005C39E3" w:rsidP="00680E6F">
      <w:pPr>
        <w:bidi w:val="0"/>
        <w:spacing w:after="0" w:line="240" w:lineRule="auto"/>
        <w:rPr>
          <w:rFonts w:ascii="Times New Roman" w:hAnsi="Times New Roman" w:cs="Times New Roman"/>
          <w:rtl/>
          <w:lang w:bidi="ar-IQ"/>
        </w:rPr>
      </w:pPr>
      <w:r>
        <w:rPr>
          <w:rFonts w:ascii="Times New Roman" w:hAnsi="Times New Roman" w:cs="Times New Roman"/>
          <w:b/>
          <w:bCs/>
        </w:rPr>
        <w:t xml:space="preserve">Table </w:t>
      </w:r>
      <w:r w:rsidR="003358BE" w:rsidRPr="00D9248D">
        <w:rPr>
          <w:rFonts w:ascii="Times New Roman" w:hAnsi="Times New Roman" w:cs="Times New Roman"/>
          <w:b/>
          <w:bCs/>
        </w:rPr>
        <w:t>5</w:t>
      </w:r>
      <w:r>
        <w:rPr>
          <w:rFonts w:ascii="Times New Roman" w:hAnsi="Times New Roman" w:cs="Times New Roman"/>
        </w:rPr>
        <w:t xml:space="preserve"> </w:t>
      </w:r>
      <w:r w:rsidR="003358BE" w:rsidRPr="005C39E3">
        <w:rPr>
          <w:rFonts w:ascii="Times New Roman" w:hAnsi="Times New Roman" w:cs="Times New Roman"/>
        </w:rPr>
        <w:t xml:space="preserve"> Mean values of testosterone </w:t>
      </w:r>
      <w:r w:rsidR="00AD765C" w:rsidRPr="005C39E3">
        <w:rPr>
          <w:rFonts w:ascii="Times New Roman" w:hAnsi="Times New Roman" w:cs="Times New Roman"/>
        </w:rPr>
        <w:t xml:space="preserve">hormone  of CRF  patients </w:t>
      </w:r>
      <w:r w:rsidR="00680E6F">
        <w:rPr>
          <w:rFonts w:ascii="Times New Roman" w:hAnsi="Times New Roman" w:cs="Times New Roman"/>
        </w:rPr>
        <w:t xml:space="preserve">  and control groups.</w:t>
      </w:r>
    </w:p>
    <w:p w:rsidR="003358BE" w:rsidRPr="00D9248D" w:rsidRDefault="003358BE" w:rsidP="005C39E3">
      <w:pPr>
        <w:spacing w:line="360" w:lineRule="auto"/>
        <w:rPr>
          <w:rFonts w:ascii="Times New Roman" w:hAnsi="Times New Roman" w:cs="Times New Roman"/>
          <w:b/>
          <w:bCs/>
          <w:rtl/>
        </w:rPr>
      </w:pPr>
      <w:r w:rsidRPr="005C39E3">
        <w:rPr>
          <w:rFonts w:ascii="Times New Roman" w:hAnsi="Times New Roman" w:cs="Times New Roman"/>
        </w:rPr>
        <w:t xml:space="preserve">  </w:t>
      </w:r>
      <w:r w:rsidRPr="005C39E3">
        <w:rPr>
          <w:rFonts w:asciiTheme="majorBidi" w:hAnsiTheme="majorBidi" w:cstheme="majorBidi"/>
          <w:lang w:bidi="ar-IQ"/>
        </w:rPr>
        <w:t xml:space="preserve">  </w:t>
      </w:r>
      <w:r w:rsidRPr="00D9248D">
        <w:rPr>
          <w:rFonts w:asciiTheme="majorBidi" w:hAnsiTheme="majorBidi" w:cstheme="majorBidi"/>
          <w:lang w:bidi="ar-IQ"/>
        </w:rPr>
        <w:t xml:space="preserve">               </w:t>
      </w:r>
      <w:r w:rsidRPr="00D9248D">
        <w:rPr>
          <w:rFonts w:ascii="Times New Roman" w:hAnsi="Times New Roman" w:cs="Times New Roman"/>
          <w:b/>
          <w:bCs/>
        </w:rPr>
        <w:t xml:space="preserve">                                               </w:t>
      </w:r>
    </w:p>
    <w:tbl>
      <w:tblPr>
        <w:tblpPr w:leftFromText="180" w:rightFromText="180" w:vertAnchor="text" w:horzAnchor="margin" w:tblpY="-37"/>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2"/>
        <w:gridCol w:w="935"/>
        <w:gridCol w:w="1333"/>
        <w:gridCol w:w="1559"/>
        <w:gridCol w:w="1633"/>
        <w:gridCol w:w="1560"/>
      </w:tblGrid>
      <w:tr w:rsidR="001237A1" w:rsidRPr="00243520" w:rsidTr="001237A1">
        <w:trPr>
          <w:trHeight w:val="534"/>
        </w:trPr>
        <w:tc>
          <w:tcPr>
            <w:tcW w:w="2387" w:type="dxa"/>
            <w:gridSpan w:val="2"/>
            <w:vMerge w:val="restart"/>
            <w:tcBorders>
              <w:top w:val="thinThickSmallGap" w:sz="24" w:space="0" w:color="auto"/>
              <w:left w:val="thinThickSmallGap" w:sz="24" w:space="0" w:color="auto"/>
              <w:right w:val="single" w:sz="4" w:space="0" w:color="auto"/>
            </w:tcBorders>
            <w:shd w:val="clear" w:color="auto" w:fill="F2F2F2"/>
            <w:hideMark/>
          </w:tcPr>
          <w:p w:rsidR="001237A1" w:rsidRPr="00243520" w:rsidRDefault="001237A1" w:rsidP="001237A1">
            <w:pPr>
              <w:bidi w:val="0"/>
              <w:spacing w:after="0" w:line="240" w:lineRule="auto"/>
              <w:rPr>
                <w:rFonts w:ascii="Times New Roman" w:hAnsi="Times New Roman" w:cs="Times New Roman"/>
                <w:b/>
                <w:bCs/>
                <w:sz w:val="20"/>
                <w:szCs w:val="20"/>
              </w:rPr>
            </w:pPr>
            <w:r w:rsidRPr="00243520">
              <w:rPr>
                <w:rFonts w:ascii="Times New Roman" w:hAnsi="Times New Roman" w:cs="Times New Roman"/>
                <w:b/>
                <w:bCs/>
                <w:sz w:val="20"/>
                <w:szCs w:val="20"/>
              </w:rPr>
              <w:t xml:space="preserve">      Hormone</w:t>
            </w:r>
          </w:p>
          <w:p w:rsidR="001237A1" w:rsidRPr="00243520" w:rsidRDefault="001237A1" w:rsidP="001237A1">
            <w:pPr>
              <w:bidi w:val="0"/>
              <w:spacing w:after="0" w:line="240" w:lineRule="auto"/>
              <w:rPr>
                <w:rFonts w:ascii="Times New Roman" w:hAnsi="Times New Roman" w:cs="Times New Roman"/>
                <w:b/>
                <w:bCs/>
                <w:sz w:val="20"/>
                <w:szCs w:val="20"/>
              </w:rPr>
            </w:pPr>
          </w:p>
        </w:tc>
        <w:tc>
          <w:tcPr>
            <w:tcW w:w="4525" w:type="dxa"/>
            <w:gridSpan w:val="3"/>
            <w:tcBorders>
              <w:top w:val="thinThickSmallGap" w:sz="24" w:space="0" w:color="auto"/>
              <w:left w:val="single" w:sz="4" w:space="0" w:color="auto"/>
              <w:bottom w:val="single" w:sz="4" w:space="0" w:color="auto"/>
              <w:right w:val="single" w:sz="4" w:space="0" w:color="auto"/>
            </w:tcBorders>
            <w:shd w:val="clear" w:color="auto" w:fill="F2F2F2"/>
            <w:hideMark/>
          </w:tcPr>
          <w:p w:rsidR="001237A1" w:rsidRPr="00243520" w:rsidRDefault="001237A1" w:rsidP="001237A1">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Patients with CRF</w:t>
            </w:r>
          </w:p>
          <w:p w:rsidR="001237A1" w:rsidRPr="00243520" w:rsidRDefault="001237A1" w:rsidP="001237A1">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 xml:space="preserve">(duration of dialysis in months)    </w:t>
            </w:r>
          </w:p>
        </w:tc>
        <w:tc>
          <w:tcPr>
            <w:tcW w:w="1560" w:type="dxa"/>
            <w:tcBorders>
              <w:top w:val="thinThickSmallGap" w:sz="24" w:space="0" w:color="auto"/>
              <w:left w:val="single" w:sz="4" w:space="0" w:color="auto"/>
              <w:bottom w:val="single" w:sz="4" w:space="0" w:color="auto"/>
              <w:right w:val="thickThinSmallGap" w:sz="24" w:space="0" w:color="auto"/>
            </w:tcBorders>
            <w:shd w:val="clear" w:color="auto" w:fill="F2F2F2"/>
          </w:tcPr>
          <w:p w:rsidR="001237A1" w:rsidRPr="00243520" w:rsidRDefault="001237A1" w:rsidP="001237A1">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Healthy subjects</w:t>
            </w:r>
          </w:p>
        </w:tc>
      </w:tr>
      <w:tr w:rsidR="001237A1" w:rsidRPr="00243520" w:rsidTr="001237A1">
        <w:trPr>
          <w:trHeight w:val="701"/>
        </w:trPr>
        <w:tc>
          <w:tcPr>
            <w:tcW w:w="2387" w:type="dxa"/>
            <w:gridSpan w:val="2"/>
            <w:vMerge/>
            <w:tcBorders>
              <w:left w:val="thinThickSmallGap" w:sz="24" w:space="0" w:color="auto"/>
              <w:right w:val="single" w:sz="4" w:space="0" w:color="auto"/>
            </w:tcBorders>
            <w:shd w:val="clear" w:color="auto" w:fill="F2F2F2"/>
            <w:hideMark/>
          </w:tcPr>
          <w:p w:rsidR="001237A1" w:rsidRPr="00243520" w:rsidRDefault="001237A1" w:rsidP="001237A1">
            <w:pPr>
              <w:bidi w:val="0"/>
              <w:spacing w:after="0" w:line="240" w:lineRule="auto"/>
              <w:jc w:val="center"/>
              <w:rPr>
                <w:rFonts w:ascii="Times New Roman" w:hAnsi="Times New Roman" w:cs="Times New Roman"/>
                <w:b/>
                <w:bCs/>
                <w:sz w:val="20"/>
                <w:szCs w:val="20"/>
              </w:rPr>
            </w:pPr>
          </w:p>
        </w:tc>
        <w:tc>
          <w:tcPr>
            <w:tcW w:w="1333" w:type="dxa"/>
            <w:tcBorders>
              <w:top w:val="single" w:sz="4" w:space="0" w:color="auto"/>
              <w:left w:val="single" w:sz="4" w:space="0" w:color="auto"/>
              <w:right w:val="single" w:sz="4" w:space="0" w:color="auto"/>
            </w:tcBorders>
            <w:shd w:val="clear" w:color="auto" w:fill="F2F2F2"/>
            <w:hideMark/>
          </w:tcPr>
          <w:p w:rsidR="001237A1" w:rsidRPr="00243520" w:rsidRDefault="001237A1" w:rsidP="001237A1">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&lt;18 months (group 1)</w:t>
            </w:r>
          </w:p>
        </w:tc>
        <w:tc>
          <w:tcPr>
            <w:tcW w:w="1559" w:type="dxa"/>
            <w:tcBorders>
              <w:top w:val="single" w:sz="4" w:space="0" w:color="auto"/>
              <w:left w:val="single" w:sz="4" w:space="0" w:color="auto"/>
              <w:right w:val="single" w:sz="4" w:space="0" w:color="auto"/>
            </w:tcBorders>
            <w:shd w:val="clear" w:color="auto" w:fill="F2F2F2"/>
          </w:tcPr>
          <w:p w:rsidR="001237A1" w:rsidRPr="00243520" w:rsidRDefault="001237A1" w:rsidP="001237A1">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18- 36 months (group2)</w:t>
            </w:r>
          </w:p>
        </w:tc>
        <w:tc>
          <w:tcPr>
            <w:tcW w:w="1633" w:type="dxa"/>
            <w:tcBorders>
              <w:top w:val="single" w:sz="4" w:space="0" w:color="auto"/>
              <w:left w:val="single" w:sz="4" w:space="0" w:color="auto"/>
              <w:right w:val="single" w:sz="4" w:space="0" w:color="auto"/>
            </w:tcBorders>
            <w:shd w:val="clear" w:color="auto" w:fill="F2F2F2"/>
          </w:tcPr>
          <w:p w:rsidR="001237A1" w:rsidRPr="00243520" w:rsidRDefault="001237A1" w:rsidP="001237A1">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36-54 months (group3)</w:t>
            </w:r>
          </w:p>
        </w:tc>
        <w:tc>
          <w:tcPr>
            <w:tcW w:w="1560" w:type="dxa"/>
            <w:tcBorders>
              <w:top w:val="single" w:sz="4" w:space="0" w:color="auto"/>
              <w:left w:val="single" w:sz="4" w:space="0" w:color="auto"/>
              <w:right w:val="thickThinSmallGap" w:sz="24" w:space="0" w:color="auto"/>
            </w:tcBorders>
            <w:shd w:val="clear" w:color="auto" w:fill="F2F2F2"/>
          </w:tcPr>
          <w:p w:rsidR="001237A1" w:rsidRPr="00243520" w:rsidRDefault="001237A1" w:rsidP="001237A1">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Control (group4)</w:t>
            </w:r>
          </w:p>
        </w:tc>
      </w:tr>
      <w:tr w:rsidR="001237A1" w:rsidRPr="00243520" w:rsidTr="001237A1">
        <w:trPr>
          <w:trHeight w:val="639"/>
        </w:trPr>
        <w:tc>
          <w:tcPr>
            <w:tcW w:w="1452" w:type="dxa"/>
            <w:vMerge w:val="restart"/>
            <w:tcBorders>
              <w:top w:val="single" w:sz="4" w:space="0" w:color="auto"/>
              <w:left w:val="thinThickSmallGap" w:sz="24" w:space="0" w:color="auto"/>
              <w:right w:val="single" w:sz="4" w:space="0" w:color="auto"/>
            </w:tcBorders>
          </w:tcPr>
          <w:p w:rsidR="001237A1" w:rsidRPr="00243520" w:rsidRDefault="001237A1" w:rsidP="001237A1">
            <w:pPr>
              <w:bidi w:val="0"/>
              <w:spacing w:after="0" w:line="240" w:lineRule="auto"/>
              <w:jc w:val="both"/>
              <w:rPr>
                <w:rFonts w:ascii="Times New Roman" w:hAnsi="Times New Roman" w:cs="Times New Roman"/>
                <w:b/>
                <w:bCs/>
                <w:sz w:val="20"/>
                <w:szCs w:val="20"/>
              </w:rPr>
            </w:pPr>
          </w:p>
          <w:p w:rsidR="001237A1" w:rsidRPr="00243520" w:rsidRDefault="001237A1" w:rsidP="001237A1">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 xml:space="preserve">Testosterone </w:t>
            </w:r>
            <w:r w:rsidRPr="00243520">
              <w:rPr>
                <w:rFonts w:ascii="Times New Roman" w:hAnsi="Times New Roman" w:cs="Times New Roman"/>
                <w:sz w:val="20"/>
                <w:szCs w:val="20"/>
              </w:rPr>
              <w:t>(ng/dl)</w:t>
            </w:r>
          </w:p>
        </w:tc>
        <w:tc>
          <w:tcPr>
            <w:tcW w:w="935" w:type="dxa"/>
            <w:tcBorders>
              <w:top w:val="single" w:sz="4" w:space="0" w:color="auto"/>
              <w:left w:val="single" w:sz="4" w:space="0" w:color="auto"/>
              <w:bottom w:val="single" w:sz="4" w:space="0" w:color="auto"/>
              <w:right w:val="single" w:sz="4" w:space="0" w:color="auto"/>
            </w:tcBorders>
            <w:hideMark/>
          </w:tcPr>
          <w:p w:rsidR="001237A1" w:rsidRPr="00243520" w:rsidRDefault="001237A1" w:rsidP="001237A1">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Male</w:t>
            </w:r>
          </w:p>
        </w:tc>
        <w:tc>
          <w:tcPr>
            <w:tcW w:w="1333" w:type="dxa"/>
            <w:tcBorders>
              <w:top w:val="single" w:sz="4" w:space="0" w:color="auto"/>
              <w:left w:val="single" w:sz="4" w:space="0" w:color="auto"/>
              <w:right w:val="single" w:sz="4" w:space="0" w:color="000000"/>
            </w:tcBorders>
            <w:hideMark/>
          </w:tcPr>
          <w:p w:rsidR="001237A1" w:rsidRPr="00243520" w:rsidRDefault="001237A1" w:rsidP="001237A1">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229.05±17.6  A)</w:t>
            </w:r>
            <w:r w:rsidRPr="00243520">
              <w:rPr>
                <w:rFonts w:asciiTheme="majorBidi" w:hAnsiTheme="majorBidi" w:cstheme="majorBidi" w:hint="cs"/>
                <w:sz w:val="20"/>
                <w:szCs w:val="20"/>
                <w:rtl/>
                <w:lang w:bidi="ar-IQ"/>
              </w:rPr>
              <w:t>)</w:t>
            </w:r>
          </w:p>
        </w:tc>
        <w:tc>
          <w:tcPr>
            <w:tcW w:w="1559" w:type="dxa"/>
            <w:tcBorders>
              <w:top w:val="single" w:sz="4" w:space="0" w:color="auto"/>
              <w:left w:val="single" w:sz="4" w:space="0" w:color="000000"/>
              <w:right w:val="single" w:sz="4" w:space="0" w:color="auto"/>
            </w:tcBorders>
            <w:hideMark/>
          </w:tcPr>
          <w:p w:rsidR="001237A1" w:rsidRPr="00243520" w:rsidRDefault="001237A1" w:rsidP="001237A1">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191.76±95.75  A)</w:t>
            </w:r>
            <w:r w:rsidRPr="00243520">
              <w:rPr>
                <w:rFonts w:asciiTheme="majorBidi" w:hAnsiTheme="majorBidi" w:cstheme="majorBidi" w:hint="cs"/>
                <w:sz w:val="20"/>
                <w:szCs w:val="20"/>
                <w:rtl/>
                <w:lang w:bidi="ar-IQ"/>
              </w:rPr>
              <w:t>)</w:t>
            </w:r>
          </w:p>
        </w:tc>
        <w:tc>
          <w:tcPr>
            <w:tcW w:w="1633" w:type="dxa"/>
            <w:tcBorders>
              <w:top w:val="single" w:sz="4" w:space="0" w:color="auto"/>
              <w:left w:val="single" w:sz="4" w:space="0" w:color="auto"/>
              <w:right w:val="single" w:sz="4" w:space="0" w:color="auto"/>
            </w:tcBorders>
            <w:hideMark/>
          </w:tcPr>
          <w:p w:rsidR="001237A1" w:rsidRPr="00243520" w:rsidRDefault="001237A1" w:rsidP="001237A1">
            <w:pPr>
              <w:tabs>
                <w:tab w:val="left" w:pos="1275"/>
              </w:tabs>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232.96±94.29  A)</w:t>
            </w:r>
            <w:r w:rsidRPr="00243520">
              <w:rPr>
                <w:rFonts w:asciiTheme="majorBidi" w:hAnsiTheme="majorBidi" w:cstheme="majorBidi" w:hint="cs"/>
                <w:sz w:val="20"/>
                <w:szCs w:val="20"/>
                <w:rtl/>
                <w:lang w:bidi="ar-IQ"/>
              </w:rPr>
              <w:t>)</w:t>
            </w:r>
          </w:p>
        </w:tc>
        <w:tc>
          <w:tcPr>
            <w:tcW w:w="1560" w:type="dxa"/>
            <w:tcBorders>
              <w:top w:val="single" w:sz="4" w:space="0" w:color="auto"/>
              <w:left w:val="single" w:sz="4" w:space="0" w:color="auto"/>
              <w:right w:val="thickThinSmallGap" w:sz="24" w:space="0" w:color="auto"/>
            </w:tcBorders>
            <w:hideMark/>
          </w:tcPr>
          <w:p w:rsidR="001237A1" w:rsidRPr="00243520" w:rsidRDefault="001237A1" w:rsidP="001237A1">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348.56±90.42   B)</w:t>
            </w:r>
            <w:r w:rsidRPr="00243520">
              <w:rPr>
                <w:rFonts w:asciiTheme="majorBidi" w:hAnsiTheme="majorBidi" w:cstheme="majorBidi" w:hint="cs"/>
                <w:sz w:val="20"/>
                <w:szCs w:val="20"/>
                <w:rtl/>
                <w:lang w:bidi="ar-IQ"/>
              </w:rPr>
              <w:t>)</w:t>
            </w:r>
          </w:p>
        </w:tc>
      </w:tr>
      <w:tr w:rsidR="001237A1" w:rsidRPr="00243520" w:rsidTr="001237A1">
        <w:trPr>
          <w:trHeight w:val="411"/>
        </w:trPr>
        <w:tc>
          <w:tcPr>
            <w:tcW w:w="1452" w:type="dxa"/>
            <w:vMerge/>
            <w:tcBorders>
              <w:left w:val="thinThickSmallGap" w:sz="24" w:space="0" w:color="auto"/>
              <w:bottom w:val="thickThinSmallGap" w:sz="24" w:space="0" w:color="auto"/>
              <w:right w:val="single" w:sz="4" w:space="0" w:color="auto"/>
            </w:tcBorders>
            <w:vAlign w:val="center"/>
            <w:hideMark/>
          </w:tcPr>
          <w:p w:rsidR="001237A1" w:rsidRPr="00243520" w:rsidRDefault="001237A1" w:rsidP="001237A1">
            <w:pPr>
              <w:spacing w:after="0" w:line="240" w:lineRule="auto"/>
              <w:jc w:val="both"/>
              <w:rPr>
                <w:rFonts w:ascii="Times New Roman" w:hAnsi="Times New Roman" w:cs="Times New Roman"/>
                <w:sz w:val="20"/>
                <w:szCs w:val="20"/>
              </w:rPr>
            </w:pPr>
          </w:p>
        </w:tc>
        <w:tc>
          <w:tcPr>
            <w:tcW w:w="935" w:type="dxa"/>
            <w:tcBorders>
              <w:top w:val="single" w:sz="4" w:space="0" w:color="auto"/>
              <w:left w:val="single" w:sz="4" w:space="0" w:color="auto"/>
              <w:bottom w:val="thickThinSmallGap" w:sz="24" w:space="0" w:color="auto"/>
              <w:right w:val="single" w:sz="4" w:space="0" w:color="auto"/>
            </w:tcBorders>
            <w:hideMark/>
          </w:tcPr>
          <w:p w:rsidR="001237A1" w:rsidRPr="00243520" w:rsidRDefault="001237A1" w:rsidP="001237A1">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Female</w:t>
            </w:r>
          </w:p>
        </w:tc>
        <w:tc>
          <w:tcPr>
            <w:tcW w:w="1333" w:type="dxa"/>
            <w:tcBorders>
              <w:top w:val="single" w:sz="4" w:space="0" w:color="auto"/>
              <w:left w:val="single" w:sz="4" w:space="0" w:color="auto"/>
              <w:bottom w:val="thickThinSmallGap" w:sz="24" w:space="0" w:color="auto"/>
              <w:right w:val="single" w:sz="4" w:space="0" w:color="000000"/>
            </w:tcBorders>
            <w:hideMark/>
          </w:tcPr>
          <w:p w:rsidR="001237A1" w:rsidRPr="00243520" w:rsidRDefault="001237A1" w:rsidP="001237A1">
            <w:pPr>
              <w:spacing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34.12</w:t>
            </w:r>
            <w:r w:rsidRPr="00243520">
              <w:rPr>
                <w:rFonts w:ascii="Calibri" w:hAnsi="Calibri" w:cs="Calibri"/>
                <w:sz w:val="20"/>
                <w:szCs w:val="20"/>
                <w:lang w:bidi="ar-IQ"/>
              </w:rPr>
              <w:t>±</w:t>
            </w:r>
            <w:r w:rsidRPr="00243520">
              <w:rPr>
                <w:rFonts w:asciiTheme="majorBidi" w:hAnsiTheme="majorBidi" w:cstheme="majorBidi"/>
                <w:sz w:val="20"/>
                <w:szCs w:val="20"/>
                <w:lang w:bidi="ar-IQ"/>
              </w:rPr>
              <w:t>19.3        (a)</w:t>
            </w:r>
          </w:p>
        </w:tc>
        <w:tc>
          <w:tcPr>
            <w:tcW w:w="1559" w:type="dxa"/>
            <w:tcBorders>
              <w:top w:val="single" w:sz="4" w:space="0" w:color="auto"/>
              <w:left w:val="single" w:sz="4" w:space="0" w:color="000000"/>
              <w:bottom w:val="thickThinSmallGap" w:sz="24" w:space="0" w:color="auto"/>
              <w:right w:val="single" w:sz="4" w:space="0" w:color="auto"/>
            </w:tcBorders>
            <w:hideMark/>
          </w:tcPr>
          <w:p w:rsidR="001237A1" w:rsidRPr="00243520" w:rsidRDefault="001237A1" w:rsidP="001237A1">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26.85</w:t>
            </w:r>
            <w:r w:rsidRPr="00243520">
              <w:rPr>
                <w:rFonts w:ascii="Calibri" w:hAnsi="Calibri" w:cs="Calibri"/>
                <w:sz w:val="20"/>
                <w:szCs w:val="20"/>
                <w:lang w:bidi="ar-IQ"/>
              </w:rPr>
              <w:t>±</w:t>
            </w:r>
            <w:r w:rsidRPr="00243520">
              <w:rPr>
                <w:rFonts w:asciiTheme="majorBidi" w:hAnsiTheme="majorBidi" w:cstheme="majorBidi"/>
                <w:sz w:val="20"/>
                <w:szCs w:val="20"/>
                <w:lang w:bidi="ar-IQ"/>
              </w:rPr>
              <w:t>15.09     a)</w:t>
            </w:r>
            <w:r w:rsidRPr="00243520">
              <w:rPr>
                <w:rFonts w:asciiTheme="majorBidi" w:hAnsiTheme="majorBidi" w:cstheme="majorBidi" w:hint="cs"/>
                <w:sz w:val="20"/>
                <w:szCs w:val="20"/>
                <w:rtl/>
                <w:lang w:bidi="ar-IQ"/>
              </w:rPr>
              <w:t>)</w:t>
            </w:r>
          </w:p>
        </w:tc>
        <w:tc>
          <w:tcPr>
            <w:tcW w:w="1633" w:type="dxa"/>
            <w:tcBorders>
              <w:top w:val="single" w:sz="4" w:space="0" w:color="auto"/>
              <w:left w:val="single" w:sz="4" w:space="0" w:color="auto"/>
              <w:bottom w:val="thickThinSmallGap" w:sz="24" w:space="0" w:color="auto"/>
              <w:right w:val="single" w:sz="4" w:space="0" w:color="auto"/>
            </w:tcBorders>
            <w:hideMark/>
          </w:tcPr>
          <w:p w:rsidR="001237A1" w:rsidRPr="00243520" w:rsidRDefault="001237A1" w:rsidP="001237A1">
            <w:pPr>
              <w:spacing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30.28</w:t>
            </w:r>
            <w:r w:rsidRPr="00243520">
              <w:rPr>
                <w:rFonts w:ascii="Calibri" w:hAnsi="Calibri" w:cs="Calibri"/>
                <w:sz w:val="20"/>
                <w:szCs w:val="20"/>
                <w:lang w:bidi="ar-IQ"/>
              </w:rPr>
              <w:t>±</w:t>
            </w:r>
            <w:r w:rsidRPr="00243520">
              <w:rPr>
                <w:rFonts w:asciiTheme="majorBidi" w:hAnsiTheme="majorBidi" w:cstheme="majorBidi"/>
                <w:sz w:val="20"/>
                <w:szCs w:val="20"/>
                <w:lang w:bidi="ar-IQ"/>
              </w:rPr>
              <w:t>12.04      (a)</w:t>
            </w:r>
          </w:p>
        </w:tc>
        <w:tc>
          <w:tcPr>
            <w:tcW w:w="1560" w:type="dxa"/>
            <w:tcBorders>
              <w:top w:val="single" w:sz="4" w:space="0" w:color="auto"/>
              <w:left w:val="single" w:sz="4" w:space="0" w:color="auto"/>
              <w:bottom w:val="thickThinSmallGap" w:sz="24" w:space="0" w:color="auto"/>
              <w:right w:val="thickThinSmallGap" w:sz="24" w:space="0" w:color="auto"/>
            </w:tcBorders>
            <w:hideMark/>
          </w:tcPr>
          <w:p w:rsidR="001237A1" w:rsidRPr="00243520" w:rsidRDefault="001237A1" w:rsidP="001237A1">
            <w:pPr>
              <w:spacing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44.08</w:t>
            </w:r>
            <w:r w:rsidRPr="00243520">
              <w:rPr>
                <w:rFonts w:ascii="Calibri" w:hAnsi="Calibri" w:cs="Calibri"/>
                <w:sz w:val="20"/>
                <w:szCs w:val="20"/>
                <w:lang w:bidi="ar-IQ"/>
              </w:rPr>
              <w:t>±</w:t>
            </w:r>
            <w:r w:rsidRPr="00243520">
              <w:rPr>
                <w:rFonts w:asciiTheme="majorBidi" w:hAnsiTheme="majorBidi" w:cstheme="majorBidi"/>
                <w:sz w:val="20"/>
                <w:szCs w:val="20"/>
                <w:lang w:bidi="ar-IQ"/>
              </w:rPr>
              <w:t>8.73        b)</w:t>
            </w:r>
            <w:r w:rsidRPr="00243520">
              <w:rPr>
                <w:rFonts w:asciiTheme="majorBidi" w:hAnsiTheme="majorBidi" w:cstheme="majorBidi" w:hint="cs"/>
                <w:sz w:val="20"/>
                <w:szCs w:val="20"/>
                <w:rtl/>
                <w:lang w:bidi="ar-IQ"/>
              </w:rPr>
              <w:t>)</w:t>
            </w:r>
          </w:p>
        </w:tc>
      </w:tr>
    </w:tbl>
    <w:p w:rsidR="006D2ED4" w:rsidRDefault="001237A1" w:rsidP="00680E6F">
      <w:pPr>
        <w:bidi w:val="0"/>
        <w:spacing w:after="0" w:line="240" w:lineRule="auto"/>
        <w:jc w:val="both"/>
        <w:rPr>
          <w:rFonts w:ascii="Times New Roman" w:hAnsi="Times New Roman" w:cs="Times New Roman"/>
          <w:b/>
          <w:bCs/>
          <w:sz w:val="24"/>
          <w:szCs w:val="24"/>
          <w:u w:val="single"/>
        </w:rPr>
      </w:pPr>
      <w:r w:rsidRPr="00DA6ADC">
        <w:rPr>
          <w:rFonts w:ascii="Times New Roman" w:hAnsi="Times New Roman" w:cs="Times New Roman"/>
          <w:b/>
          <w:bCs/>
          <w:sz w:val="24"/>
          <w:szCs w:val="24"/>
        </w:rPr>
        <w:t xml:space="preserve"> </w:t>
      </w:r>
    </w:p>
    <w:p w:rsidR="009038DA" w:rsidRPr="00680E6F" w:rsidRDefault="005C39E3" w:rsidP="006D2ED4">
      <w:pPr>
        <w:bidi w:val="0"/>
        <w:spacing w:after="0" w:line="240" w:lineRule="auto"/>
        <w:jc w:val="both"/>
        <w:rPr>
          <w:rFonts w:ascii="Times New Roman" w:hAnsi="Times New Roman" w:cs="Times New Roman"/>
          <w:b/>
          <w:bCs/>
          <w:sz w:val="24"/>
          <w:szCs w:val="24"/>
          <w:lang w:bidi="ar-IQ"/>
        </w:rPr>
      </w:pPr>
      <w:r w:rsidRPr="005C39E3">
        <w:rPr>
          <w:rFonts w:ascii="Times New Roman" w:hAnsi="Times New Roman" w:cs="Times New Roman"/>
          <w:b/>
          <w:bCs/>
          <w:sz w:val="24"/>
          <w:szCs w:val="24"/>
          <w:u w:val="single"/>
        </w:rPr>
        <w:lastRenderedPageBreak/>
        <w:t>Table 6</w:t>
      </w:r>
      <w:r w:rsidRPr="00DA6ADC">
        <w:rPr>
          <w:rFonts w:ascii="Times New Roman" w:hAnsi="Times New Roman" w:cs="Times New Roman"/>
          <w:b/>
          <w:bCs/>
          <w:sz w:val="24"/>
          <w:szCs w:val="24"/>
        </w:rPr>
        <w:t xml:space="preserve"> </w:t>
      </w:r>
      <w:r w:rsidRPr="005C39E3">
        <w:rPr>
          <w:rFonts w:ascii="Times New Roman" w:hAnsi="Times New Roman" w:cs="Times New Roman"/>
          <w:sz w:val="24"/>
          <w:szCs w:val="24"/>
        </w:rPr>
        <w:t>Mean values of T3 and T4 hormone of CRF patients and control group.</w:t>
      </w:r>
    </w:p>
    <w:tbl>
      <w:tblPr>
        <w:tblpPr w:leftFromText="180" w:rightFromText="180" w:vertAnchor="page" w:horzAnchor="margin" w:tblpY="1914"/>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7"/>
        <w:gridCol w:w="1043"/>
        <w:gridCol w:w="1327"/>
        <w:gridCol w:w="1414"/>
        <w:gridCol w:w="1534"/>
        <w:gridCol w:w="1511"/>
      </w:tblGrid>
      <w:tr w:rsidR="006D2ED4" w:rsidRPr="00243520" w:rsidTr="006D2ED4">
        <w:trPr>
          <w:trHeight w:val="20"/>
        </w:trPr>
        <w:tc>
          <w:tcPr>
            <w:tcW w:w="2260" w:type="dxa"/>
            <w:gridSpan w:val="2"/>
            <w:vMerge w:val="restart"/>
            <w:tcBorders>
              <w:top w:val="thinThickSmallGap" w:sz="24" w:space="0" w:color="auto"/>
              <w:left w:val="thinThickSmallGap" w:sz="24" w:space="0" w:color="auto"/>
              <w:right w:val="single" w:sz="4" w:space="0" w:color="auto"/>
            </w:tcBorders>
            <w:shd w:val="clear" w:color="auto" w:fill="F2F2F2"/>
            <w:hideMark/>
          </w:tcPr>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Hormone</w:t>
            </w:r>
          </w:p>
          <w:p w:rsidR="006D2ED4" w:rsidRPr="00243520" w:rsidRDefault="006D2ED4" w:rsidP="006D2ED4">
            <w:pPr>
              <w:bidi w:val="0"/>
              <w:spacing w:after="0" w:line="240" w:lineRule="auto"/>
              <w:jc w:val="center"/>
              <w:rPr>
                <w:rFonts w:ascii="Times New Roman" w:hAnsi="Times New Roman" w:cs="Times New Roman"/>
                <w:b/>
                <w:bCs/>
                <w:sz w:val="20"/>
                <w:szCs w:val="20"/>
              </w:rPr>
            </w:pPr>
          </w:p>
        </w:tc>
        <w:tc>
          <w:tcPr>
            <w:tcW w:w="4275" w:type="dxa"/>
            <w:gridSpan w:val="3"/>
            <w:tcBorders>
              <w:top w:val="thinThickSmallGap" w:sz="24" w:space="0" w:color="auto"/>
              <w:left w:val="single" w:sz="4" w:space="0" w:color="auto"/>
              <w:bottom w:val="single" w:sz="4" w:space="0" w:color="auto"/>
              <w:right w:val="single" w:sz="4" w:space="0" w:color="auto"/>
            </w:tcBorders>
            <w:shd w:val="clear" w:color="auto" w:fill="F2F2F2"/>
            <w:hideMark/>
          </w:tcPr>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Patients with CRF</w:t>
            </w:r>
          </w:p>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(duration of dialysis in months)</w:t>
            </w:r>
          </w:p>
        </w:tc>
        <w:tc>
          <w:tcPr>
            <w:tcW w:w="1511" w:type="dxa"/>
            <w:tcBorders>
              <w:top w:val="thinThickSmallGap" w:sz="24" w:space="0" w:color="auto"/>
              <w:left w:val="single" w:sz="4" w:space="0" w:color="auto"/>
              <w:bottom w:val="nil"/>
              <w:right w:val="thinThickSmallGap" w:sz="24" w:space="0" w:color="auto"/>
            </w:tcBorders>
            <w:shd w:val="clear" w:color="auto" w:fill="F2F2F2"/>
          </w:tcPr>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Healthy subjects</w:t>
            </w:r>
          </w:p>
        </w:tc>
      </w:tr>
      <w:tr w:rsidR="006D2ED4" w:rsidRPr="00243520" w:rsidTr="006D2ED4">
        <w:trPr>
          <w:trHeight w:val="701"/>
        </w:trPr>
        <w:tc>
          <w:tcPr>
            <w:tcW w:w="2260" w:type="dxa"/>
            <w:gridSpan w:val="2"/>
            <w:vMerge/>
            <w:tcBorders>
              <w:left w:val="thinThickSmallGap" w:sz="24" w:space="0" w:color="auto"/>
              <w:right w:val="single" w:sz="4" w:space="0" w:color="auto"/>
            </w:tcBorders>
            <w:shd w:val="clear" w:color="auto" w:fill="F2F2F2"/>
            <w:hideMark/>
          </w:tcPr>
          <w:p w:rsidR="006D2ED4" w:rsidRPr="00243520" w:rsidRDefault="006D2ED4" w:rsidP="006D2ED4">
            <w:pPr>
              <w:bidi w:val="0"/>
              <w:spacing w:after="0" w:line="240" w:lineRule="auto"/>
              <w:jc w:val="center"/>
              <w:rPr>
                <w:rFonts w:ascii="Times New Roman" w:hAnsi="Times New Roman" w:cs="Times New Roman"/>
                <w:b/>
                <w:bCs/>
                <w:sz w:val="20"/>
                <w:szCs w:val="20"/>
              </w:rPr>
            </w:pPr>
          </w:p>
        </w:tc>
        <w:tc>
          <w:tcPr>
            <w:tcW w:w="1327" w:type="dxa"/>
            <w:tcBorders>
              <w:top w:val="single" w:sz="4" w:space="0" w:color="auto"/>
              <w:left w:val="single" w:sz="4" w:space="0" w:color="auto"/>
              <w:right w:val="single" w:sz="4" w:space="0" w:color="auto"/>
            </w:tcBorders>
            <w:shd w:val="clear" w:color="auto" w:fill="F2F2F2"/>
            <w:hideMark/>
          </w:tcPr>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&lt;18 months (group1)</w:t>
            </w:r>
          </w:p>
        </w:tc>
        <w:tc>
          <w:tcPr>
            <w:tcW w:w="1414" w:type="dxa"/>
            <w:tcBorders>
              <w:top w:val="single" w:sz="4" w:space="0" w:color="auto"/>
              <w:left w:val="single" w:sz="4" w:space="0" w:color="auto"/>
              <w:right w:val="single" w:sz="4" w:space="0" w:color="auto"/>
            </w:tcBorders>
            <w:shd w:val="clear" w:color="auto" w:fill="F2F2F2"/>
          </w:tcPr>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18- 36 months (group2)</w:t>
            </w:r>
          </w:p>
        </w:tc>
        <w:tc>
          <w:tcPr>
            <w:tcW w:w="1534" w:type="dxa"/>
            <w:tcBorders>
              <w:top w:val="single" w:sz="4" w:space="0" w:color="auto"/>
              <w:left w:val="single" w:sz="4" w:space="0" w:color="auto"/>
              <w:right w:val="single" w:sz="4" w:space="0" w:color="auto"/>
            </w:tcBorders>
            <w:shd w:val="clear" w:color="auto" w:fill="F2F2F2"/>
          </w:tcPr>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36-54 months (group3)</w:t>
            </w:r>
          </w:p>
        </w:tc>
        <w:tc>
          <w:tcPr>
            <w:tcW w:w="1511" w:type="dxa"/>
            <w:tcBorders>
              <w:top w:val="single" w:sz="4" w:space="0" w:color="auto"/>
              <w:left w:val="single" w:sz="4" w:space="0" w:color="auto"/>
              <w:right w:val="thickThinSmallGap" w:sz="24" w:space="0" w:color="auto"/>
            </w:tcBorders>
            <w:shd w:val="clear" w:color="auto" w:fill="F2F2F2"/>
          </w:tcPr>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Control (group4)</w:t>
            </w:r>
          </w:p>
        </w:tc>
      </w:tr>
      <w:tr w:rsidR="006D2ED4" w:rsidRPr="00243520" w:rsidTr="006D2ED4">
        <w:trPr>
          <w:trHeight w:val="603"/>
        </w:trPr>
        <w:tc>
          <w:tcPr>
            <w:tcW w:w="1217" w:type="dxa"/>
            <w:vMerge w:val="restart"/>
            <w:tcBorders>
              <w:top w:val="single" w:sz="4" w:space="0" w:color="auto"/>
              <w:left w:val="thinThickSmallGap" w:sz="24" w:space="0" w:color="auto"/>
              <w:right w:val="single" w:sz="4" w:space="0" w:color="auto"/>
            </w:tcBorders>
          </w:tcPr>
          <w:p w:rsidR="006D2ED4" w:rsidRPr="00243520" w:rsidRDefault="006D2ED4" w:rsidP="006D2ED4">
            <w:pPr>
              <w:bidi w:val="0"/>
              <w:spacing w:after="0" w:line="240" w:lineRule="auto"/>
              <w:jc w:val="center"/>
              <w:rPr>
                <w:rFonts w:ascii="Times New Roman" w:hAnsi="Times New Roman" w:cs="Times New Roman"/>
                <w:b/>
                <w:bCs/>
                <w:sz w:val="20"/>
                <w:szCs w:val="20"/>
              </w:rPr>
            </w:pPr>
          </w:p>
          <w:p w:rsidR="006D2ED4" w:rsidRPr="00243520" w:rsidRDefault="006D2ED4" w:rsidP="006D2ED4">
            <w:pPr>
              <w:bidi w:val="0"/>
              <w:spacing w:after="0" w:line="240" w:lineRule="auto"/>
              <w:jc w:val="center"/>
              <w:rPr>
                <w:rFonts w:ascii="Times New Roman" w:hAnsi="Times New Roman" w:cs="Times New Roman"/>
                <w:b/>
                <w:bCs/>
                <w:sz w:val="20"/>
                <w:szCs w:val="20"/>
              </w:rPr>
            </w:pPr>
          </w:p>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 xml:space="preserve">T3       </w:t>
            </w:r>
            <w:r w:rsidRPr="00243520">
              <w:rPr>
                <w:rFonts w:ascii="Times New Roman" w:hAnsi="Times New Roman" w:cs="Times New Roman"/>
                <w:sz w:val="20"/>
                <w:szCs w:val="20"/>
              </w:rPr>
              <w:t>(</w:t>
            </w:r>
            <w:proofErr w:type="spellStart"/>
            <w:r w:rsidRPr="00243520">
              <w:rPr>
                <w:rFonts w:ascii="Times New Roman" w:hAnsi="Times New Roman" w:cs="Times New Roman"/>
                <w:sz w:val="20"/>
                <w:szCs w:val="20"/>
              </w:rPr>
              <w:t>nmol</w:t>
            </w:r>
            <w:proofErr w:type="spellEnd"/>
            <w:r w:rsidRPr="00243520">
              <w:rPr>
                <w:rFonts w:ascii="Times New Roman" w:hAnsi="Times New Roman" w:cs="Times New Roman"/>
                <w:sz w:val="20"/>
                <w:szCs w:val="20"/>
              </w:rPr>
              <w:t xml:space="preserve"> /L)</w:t>
            </w:r>
          </w:p>
        </w:tc>
        <w:tc>
          <w:tcPr>
            <w:tcW w:w="1043" w:type="dxa"/>
            <w:tcBorders>
              <w:top w:val="single" w:sz="4" w:space="0" w:color="auto"/>
              <w:left w:val="single" w:sz="4" w:space="0" w:color="auto"/>
              <w:bottom w:val="single" w:sz="4" w:space="0" w:color="auto"/>
              <w:right w:val="single" w:sz="4" w:space="0" w:color="auto"/>
            </w:tcBorders>
            <w:hideMark/>
          </w:tcPr>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Male</w:t>
            </w:r>
          </w:p>
        </w:tc>
        <w:tc>
          <w:tcPr>
            <w:tcW w:w="1327" w:type="dxa"/>
            <w:tcBorders>
              <w:top w:val="single" w:sz="4" w:space="0" w:color="auto"/>
              <w:left w:val="single" w:sz="4" w:space="0" w:color="auto"/>
              <w:right w:val="single" w:sz="4" w:space="0" w:color="000000"/>
            </w:tcBorders>
            <w:hideMark/>
          </w:tcPr>
          <w:p w:rsidR="006D2ED4" w:rsidRPr="00243520" w:rsidRDefault="006D2ED4" w:rsidP="006D2ED4">
            <w:pPr>
              <w:spacing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1.05±0.18          (</w:t>
            </w:r>
            <w:proofErr w:type="spellStart"/>
            <w:r w:rsidRPr="00243520">
              <w:rPr>
                <w:rFonts w:asciiTheme="majorBidi" w:hAnsiTheme="majorBidi" w:cstheme="majorBidi"/>
                <w:sz w:val="20"/>
                <w:szCs w:val="20"/>
                <w:lang w:bidi="ar-IQ"/>
              </w:rPr>
              <w:t>Aa</w:t>
            </w:r>
            <w:proofErr w:type="spellEnd"/>
            <w:r w:rsidRPr="00243520">
              <w:rPr>
                <w:rFonts w:asciiTheme="majorBidi" w:hAnsiTheme="majorBidi" w:cstheme="majorBidi"/>
                <w:sz w:val="20"/>
                <w:szCs w:val="20"/>
                <w:lang w:bidi="ar-IQ"/>
              </w:rPr>
              <w:t xml:space="preserve">)    </w:t>
            </w:r>
          </w:p>
        </w:tc>
        <w:tc>
          <w:tcPr>
            <w:tcW w:w="1414" w:type="dxa"/>
            <w:tcBorders>
              <w:top w:val="single" w:sz="4" w:space="0" w:color="auto"/>
              <w:left w:val="single" w:sz="4" w:space="0" w:color="000000"/>
              <w:right w:val="single" w:sz="4" w:space="0" w:color="auto"/>
            </w:tcBorders>
            <w:hideMark/>
          </w:tcPr>
          <w:p w:rsidR="006D2ED4" w:rsidRPr="00243520" w:rsidRDefault="006D2ED4" w:rsidP="006D2ED4">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 xml:space="preserve">0.87±0.27             (A)    </w:t>
            </w:r>
          </w:p>
        </w:tc>
        <w:tc>
          <w:tcPr>
            <w:tcW w:w="1534" w:type="dxa"/>
            <w:tcBorders>
              <w:top w:val="single" w:sz="4" w:space="0" w:color="auto"/>
              <w:left w:val="single" w:sz="4" w:space="0" w:color="auto"/>
              <w:right w:val="single" w:sz="4" w:space="0" w:color="auto"/>
            </w:tcBorders>
            <w:hideMark/>
          </w:tcPr>
          <w:p w:rsidR="006D2ED4" w:rsidRPr="00243520" w:rsidRDefault="006D2ED4" w:rsidP="006D2ED4">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 xml:space="preserve">0.67±0.12                  (Ab)    </w:t>
            </w:r>
          </w:p>
        </w:tc>
        <w:tc>
          <w:tcPr>
            <w:tcW w:w="1511" w:type="dxa"/>
            <w:tcBorders>
              <w:top w:val="single" w:sz="4" w:space="0" w:color="auto"/>
              <w:left w:val="single" w:sz="4" w:space="0" w:color="auto"/>
              <w:right w:val="thickThinSmallGap" w:sz="24" w:space="0" w:color="auto"/>
            </w:tcBorders>
            <w:hideMark/>
          </w:tcPr>
          <w:p w:rsidR="006D2ED4" w:rsidRPr="00243520" w:rsidRDefault="006D2ED4" w:rsidP="006D2ED4">
            <w:pPr>
              <w:spacing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 xml:space="preserve">1.54±0.36              ( B)    </w:t>
            </w:r>
          </w:p>
        </w:tc>
      </w:tr>
      <w:tr w:rsidR="006D2ED4" w:rsidRPr="00243520" w:rsidTr="006D2ED4">
        <w:trPr>
          <w:trHeight w:val="574"/>
        </w:trPr>
        <w:tc>
          <w:tcPr>
            <w:tcW w:w="1217" w:type="dxa"/>
            <w:vMerge/>
            <w:tcBorders>
              <w:left w:val="thinThickSmallGap" w:sz="24" w:space="0" w:color="auto"/>
              <w:bottom w:val="single" w:sz="4" w:space="0" w:color="auto"/>
              <w:right w:val="single" w:sz="4" w:space="0" w:color="auto"/>
            </w:tcBorders>
            <w:vAlign w:val="center"/>
            <w:hideMark/>
          </w:tcPr>
          <w:p w:rsidR="006D2ED4" w:rsidRPr="00243520" w:rsidRDefault="006D2ED4" w:rsidP="006D2ED4">
            <w:pPr>
              <w:spacing w:after="0" w:line="240" w:lineRule="auto"/>
              <w:jc w:val="center"/>
              <w:rPr>
                <w:rFonts w:ascii="Times New Roman" w:hAnsi="Times New Roman" w:cs="Times New Roman"/>
                <w:sz w:val="20"/>
                <w:szCs w:val="20"/>
              </w:rPr>
            </w:pPr>
          </w:p>
        </w:tc>
        <w:tc>
          <w:tcPr>
            <w:tcW w:w="1043" w:type="dxa"/>
            <w:tcBorders>
              <w:top w:val="single" w:sz="4" w:space="0" w:color="auto"/>
              <w:left w:val="single" w:sz="4" w:space="0" w:color="auto"/>
              <w:bottom w:val="single" w:sz="4" w:space="0" w:color="000000"/>
              <w:right w:val="single" w:sz="4" w:space="0" w:color="auto"/>
            </w:tcBorders>
            <w:hideMark/>
          </w:tcPr>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Female</w:t>
            </w:r>
          </w:p>
        </w:tc>
        <w:tc>
          <w:tcPr>
            <w:tcW w:w="1327" w:type="dxa"/>
            <w:tcBorders>
              <w:top w:val="single" w:sz="4" w:space="0" w:color="auto"/>
              <w:left w:val="single" w:sz="4" w:space="0" w:color="auto"/>
              <w:bottom w:val="single" w:sz="4" w:space="0" w:color="000000"/>
              <w:right w:val="single" w:sz="4" w:space="0" w:color="000000"/>
            </w:tcBorders>
            <w:hideMark/>
          </w:tcPr>
          <w:p w:rsidR="006D2ED4" w:rsidRPr="00243520" w:rsidRDefault="006D2ED4" w:rsidP="006D2ED4">
            <w:pPr>
              <w:spacing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 xml:space="preserve">1.02±0.15           (A)     </w:t>
            </w:r>
          </w:p>
        </w:tc>
        <w:tc>
          <w:tcPr>
            <w:tcW w:w="1414" w:type="dxa"/>
            <w:tcBorders>
              <w:top w:val="single" w:sz="4" w:space="0" w:color="auto"/>
              <w:left w:val="single" w:sz="4" w:space="0" w:color="000000"/>
              <w:bottom w:val="single" w:sz="4" w:space="0" w:color="000000"/>
              <w:right w:val="single" w:sz="4" w:space="0" w:color="auto"/>
            </w:tcBorders>
            <w:hideMark/>
          </w:tcPr>
          <w:p w:rsidR="006D2ED4" w:rsidRPr="00243520" w:rsidRDefault="006D2ED4" w:rsidP="006D2ED4">
            <w:pPr>
              <w:spacing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 xml:space="preserve">0.72±0.3             (B)    </w:t>
            </w:r>
          </w:p>
        </w:tc>
        <w:tc>
          <w:tcPr>
            <w:tcW w:w="1534" w:type="dxa"/>
            <w:tcBorders>
              <w:top w:val="single" w:sz="4" w:space="0" w:color="auto"/>
              <w:left w:val="single" w:sz="4" w:space="0" w:color="auto"/>
              <w:bottom w:val="single" w:sz="4" w:space="0" w:color="000000"/>
              <w:right w:val="single" w:sz="4" w:space="0" w:color="auto"/>
            </w:tcBorders>
            <w:hideMark/>
          </w:tcPr>
          <w:p w:rsidR="006D2ED4" w:rsidRPr="00243520" w:rsidRDefault="006D2ED4" w:rsidP="006D2ED4">
            <w:pPr>
              <w:spacing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 xml:space="preserve">0.76±0.16                   (B)       </w:t>
            </w:r>
          </w:p>
        </w:tc>
        <w:tc>
          <w:tcPr>
            <w:tcW w:w="1511" w:type="dxa"/>
            <w:tcBorders>
              <w:top w:val="single" w:sz="4" w:space="0" w:color="auto"/>
              <w:left w:val="single" w:sz="4" w:space="0" w:color="auto"/>
              <w:bottom w:val="single" w:sz="4" w:space="0" w:color="000000"/>
              <w:right w:val="thickThinSmallGap" w:sz="24" w:space="0" w:color="auto"/>
            </w:tcBorders>
            <w:hideMark/>
          </w:tcPr>
          <w:p w:rsidR="006D2ED4" w:rsidRPr="00243520" w:rsidRDefault="006D2ED4" w:rsidP="006D2ED4">
            <w:pPr>
              <w:spacing w:after="0" w:line="240" w:lineRule="auto"/>
              <w:jc w:val="center"/>
              <w:rPr>
                <w:rFonts w:asciiTheme="majorBidi" w:hAnsiTheme="majorBidi" w:cstheme="majorBidi"/>
                <w:sz w:val="20"/>
                <w:szCs w:val="20"/>
                <w:lang w:bidi="ar-IQ"/>
              </w:rPr>
            </w:pPr>
            <w:r w:rsidRPr="00243520">
              <w:rPr>
                <w:rFonts w:asciiTheme="majorBidi" w:hAnsiTheme="majorBidi" w:cstheme="majorBidi"/>
                <w:sz w:val="20"/>
                <w:szCs w:val="20"/>
                <w:lang w:bidi="ar-IQ"/>
              </w:rPr>
              <w:t xml:space="preserve">1.42±0.19              (C)   </w:t>
            </w:r>
          </w:p>
        </w:tc>
      </w:tr>
      <w:tr w:rsidR="006D2ED4" w:rsidRPr="00243520" w:rsidTr="006D2ED4">
        <w:trPr>
          <w:trHeight w:val="599"/>
        </w:trPr>
        <w:tc>
          <w:tcPr>
            <w:tcW w:w="1217" w:type="dxa"/>
            <w:vMerge w:val="restart"/>
            <w:tcBorders>
              <w:top w:val="single" w:sz="4" w:space="0" w:color="auto"/>
              <w:left w:val="thinThickSmallGap" w:sz="24" w:space="0" w:color="auto"/>
              <w:right w:val="single" w:sz="4" w:space="0" w:color="auto"/>
            </w:tcBorders>
            <w:hideMark/>
          </w:tcPr>
          <w:p w:rsidR="006D2ED4" w:rsidRPr="00243520" w:rsidRDefault="006D2ED4" w:rsidP="006D2ED4">
            <w:pPr>
              <w:bidi w:val="0"/>
              <w:spacing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 xml:space="preserve">T4  </w:t>
            </w:r>
            <w:r w:rsidRPr="00243520">
              <w:rPr>
                <w:rFonts w:ascii="Times New Roman" w:hAnsi="Times New Roman" w:cs="Times New Roman"/>
                <w:sz w:val="20"/>
                <w:szCs w:val="20"/>
              </w:rPr>
              <w:t>(</w:t>
            </w:r>
            <w:proofErr w:type="spellStart"/>
            <w:r w:rsidRPr="00243520">
              <w:rPr>
                <w:rFonts w:ascii="Times New Roman" w:hAnsi="Times New Roman" w:cs="Times New Roman"/>
                <w:sz w:val="20"/>
                <w:szCs w:val="20"/>
              </w:rPr>
              <w:t>nmol</w:t>
            </w:r>
            <w:proofErr w:type="spellEnd"/>
            <w:r w:rsidRPr="00243520">
              <w:rPr>
                <w:rFonts w:ascii="Times New Roman" w:hAnsi="Times New Roman" w:cs="Times New Roman"/>
                <w:sz w:val="20"/>
                <w:szCs w:val="20"/>
              </w:rPr>
              <w:t>/L)</w:t>
            </w:r>
          </w:p>
        </w:tc>
        <w:tc>
          <w:tcPr>
            <w:tcW w:w="1043" w:type="dxa"/>
            <w:tcBorders>
              <w:top w:val="single" w:sz="4" w:space="0" w:color="auto"/>
              <w:left w:val="single" w:sz="4" w:space="0" w:color="auto"/>
              <w:bottom w:val="single" w:sz="4" w:space="0" w:color="auto"/>
              <w:right w:val="single" w:sz="4" w:space="0" w:color="auto"/>
            </w:tcBorders>
          </w:tcPr>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Male</w:t>
            </w:r>
          </w:p>
        </w:tc>
        <w:tc>
          <w:tcPr>
            <w:tcW w:w="1327" w:type="dxa"/>
            <w:tcBorders>
              <w:top w:val="single" w:sz="4" w:space="0" w:color="auto"/>
              <w:left w:val="single" w:sz="4" w:space="0" w:color="auto"/>
              <w:bottom w:val="single" w:sz="4" w:space="0" w:color="auto"/>
              <w:right w:val="single" w:sz="4" w:space="0" w:color="000000"/>
            </w:tcBorders>
            <w:hideMark/>
          </w:tcPr>
          <w:p w:rsidR="006D2ED4" w:rsidRPr="00243520" w:rsidRDefault="006D2ED4" w:rsidP="006D2ED4">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85.65±15.13 (A)</w:t>
            </w:r>
          </w:p>
        </w:tc>
        <w:tc>
          <w:tcPr>
            <w:tcW w:w="1414" w:type="dxa"/>
            <w:tcBorders>
              <w:top w:val="single" w:sz="4" w:space="0" w:color="auto"/>
              <w:left w:val="single" w:sz="4" w:space="0" w:color="000000"/>
              <w:bottom w:val="single" w:sz="4" w:space="0" w:color="auto"/>
              <w:right w:val="single" w:sz="4" w:space="0" w:color="auto"/>
            </w:tcBorders>
            <w:hideMark/>
          </w:tcPr>
          <w:p w:rsidR="006D2ED4" w:rsidRPr="00243520" w:rsidRDefault="006D2ED4" w:rsidP="006D2ED4">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87.66±15.74  A)</w:t>
            </w:r>
            <w:r w:rsidRPr="00243520">
              <w:rPr>
                <w:rFonts w:asciiTheme="majorBidi" w:hAnsiTheme="majorBidi" w:cstheme="majorBidi" w:hint="cs"/>
                <w:sz w:val="20"/>
                <w:szCs w:val="20"/>
                <w:rtl/>
                <w:lang w:bidi="ar-IQ"/>
              </w:rPr>
              <w:t>)</w:t>
            </w:r>
          </w:p>
        </w:tc>
        <w:tc>
          <w:tcPr>
            <w:tcW w:w="1534" w:type="dxa"/>
            <w:tcBorders>
              <w:top w:val="single" w:sz="4" w:space="0" w:color="auto"/>
              <w:left w:val="single" w:sz="4" w:space="0" w:color="auto"/>
              <w:bottom w:val="single" w:sz="4" w:space="0" w:color="auto"/>
              <w:right w:val="single" w:sz="4" w:space="0" w:color="auto"/>
            </w:tcBorders>
            <w:hideMark/>
          </w:tcPr>
          <w:p w:rsidR="006D2ED4" w:rsidRPr="00243520" w:rsidRDefault="006D2ED4" w:rsidP="006D2ED4">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88.2±7.83        (A)</w:t>
            </w:r>
            <w:r w:rsidRPr="00243520">
              <w:rPr>
                <w:rFonts w:asciiTheme="majorBidi" w:hAnsiTheme="majorBidi" w:cstheme="majorBidi" w:hint="cs"/>
                <w:sz w:val="20"/>
                <w:szCs w:val="20"/>
                <w:rtl/>
                <w:lang w:bidi="ar-IQ"/>
              </w:rPr>
              <w:t xml:space="preserve">    </w:t>
            </w:r>
          </w:p>
        </w:tc>
        <w:tc>
          <w:tcPr>
            <w:tcW w:w="1511" w:type="dxa"/>
            <w:tcBorders>
              <w:top w:val="single" w:sz="4" w:space="0" w:color="auto"/>
              <w:left w:val="single" w:sz="4" w:space="0" w:color="auto"/>
              <w:bottom w:val="single" w:sz="4" w:space="0" w:color="auto"/>
              <w:right w:val="thickThinSmallGap" w:sz="24" w:space="0" w:color="auto"/>
            </w:tcBorders>
            <w:hideMark/>
          </w:tcPr>
          <w:p w:rsidR="006D2ED4" w:rsidRPr="00243520" w:rsidRDefault="006D2ED4" w:rsidP="006D2ED4">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83.87±8.86  (A)</w:t>
            </w:r>
            <w:r w:rsidRPr="00243520">
              <w:rPr>
                <w:rFonts w:asciiTheme="majorBidi" w:hAnsiTheme="majorBidi" w:cstheme="majorBidi" w:hint="cs"/>
                <w:sz w:val="20"/>
                <w:szCs w:val="20"/>
                <w:rtl/>
                <w:lang w:bidi="ar-IQ"/>
              </w:rPr>
              <w:t xml:space="preserve">  </w:t>
            </w:r>
          </w:p>
        </w:tc>
      </w:tr>
      <w:tr w:rsidR="006D2ED4" w:rsidRPr="00243520" w:rsidTr="006D2ED4">
        <w:trPr>
          <w:trHeight w:val="584"/>
        </w:trPr>
        <w:tc>
          <w:tcPr>
            <w:tcW w:w="1217" w:type="dxa"/>
            <w:vMerge/>
            <w:tcBorders>
              <w:left w:val="thinThickSmallGap" w:sz="24" w:space="0" w:color="auto"/>
              <w:bottom w:val="thickThinSmallGap" w:sz="24" w:space="0" w:color="auto"/>
              <w:right w:val="single" w:sz="4" w:space="0" w:color="auto"/>
            </w:tcBorders>
            <w:hideMark/>
          </w:tcPr>
          <w:p w:rsidR="006D2ED4" w:rsidRPr="00243520" w:rsidRDefault="006D2ED4" w:rsidP="006D2ED4">
            <w:pPr>
              <w:bidi w:val="0"/>
              <w:spacing w:after="0" w:line="240" w:lineRule="auto"/>
              <w:jc w:val="center"/>
              <w:rPr>
                <w:rFonts w:ascii="Times New Roman" w:hAnsi="Times New Roman" w:cs="Times New Roman"/>
                <w:b/>
                <w:bCs/>
                <w:sz w:val="20"/>
                <w:szCs w:val="20"/>
              </w:rPr>
            </w:pPr>
          </w:p>
        </w:tc>
        <w:tc>
          <w:tcPr>
            <w:tcW w:w="1043" w:type="dxa"/>
            <w:tcBorders>
              <w:top w:val="single" w:sz="4" w:space="0" w:color="auto"/>
              <w:left w:val="single" w:sz="4" w:space="0" w:color="auto"/>
              <w:bottom w:val="thickThinSmallGap" w:sz="24" w:space="0" w:color="auto"/>
              <w:right w:val="single" w:sz="4" w:space="0" w:color="auto"/>
            </w:tcBorders>
          </w:tcPr>
          <w:p w:rsidR="006D2ED4" w:rsidRPr="00243520" w:rsidRDefault="006D2ED4" w:rsidP="006D2ED4">
            <w:pPr>
              <w:bidi w:val="0"/>
              <w:spacing w:after="0" w:line="240" w:lineRule="auto"/>
              <w:jc w:val="center"/>
              <w:rPr>
                <w:rFonts w:ascii="Times New Roman" w:hAnsi="Times New Roman" w:cs="Times New Roman"/>
                <w:b/>
                <w:bCs/>
                <w:sz w:val="20"/>
                <w:szCs w:val="20"/>
              </w:rPr>
            </w:pPr>
            <w:r w:rsidRPr="00243520">
              <w:rPr>
                <w:rFonts w:ascii="Times New Roman" w:hAnsi="Times New Roman" w:cs="Times New Roman"/>
                <w:b/>
                <w:bCs/>
                <w:sz w:val="20"/>
                <w:szCs w:val="20"/>
              </w:rPr>
              <w:t>Female</w:t>
            </w:r>
          </w:p>
        </w:tc>
        <w:tc>
          <w:tcPr>
            <w:tcW w:w="1327" w:type="dxa"/>
            <w:tcBorders>
              <w:top w:val="single" w:sz="4" w:space="0" w:color="auto"/>
              <w:left w:val="single" w:sz="4" w:space="0" w:color="auto"/>
              <w:bottom w:val="thickThinSmallGap" w:sz="24" w:space="0" w:color="auto"/>
              <w:right w:val="single" w:sz="4" w:space="0" w:color="000000"/>
            </w:tcBorders>
            <w:hideMark/>
          </w:tcPr>
          <w:p w:rsidR="006D2ED4" w:rsidRPr="00243520" w:rsidRDefault="006D2ED4" w:rsidP="006D2ED4">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83.56±11.87 A)</w:t>
            </w:r>
            <w:r w:rsidRPr="00243520">
              <w:rPr>
                <w:rFonts w:asciiTheme="majorBidi" w:hAnsiTheme="majorBidi" w:cstheme="majorBidi" w:hint="cs"/>
                <w:sz w:val="20"/>
                <w:szCs w:val="20"/>
                <w:rtl/>
                <w:lang w:bidi="ar-IQ"/>
              </w:rPr>
              <w:t>)</w:t>
            </w:r>
          </w:p>
        </w:tc>
        <w:tc>
          <w:tcPr>
            <w:tcW w:w="1414" w:type="dxa"/>
            <w:tcBorders>
              <w:top w:val="single" w:sz="4" w:space="0" w:color="auto"/>
              <w:left w:val="single" w:sz="4" w:space="0" w:color="000000"/>
              <w:bottom w:val="thickThinSmallGap" w:sz="24" w:space="0" w:color="auto"/>
              <w:right w:val="single" w:sz="4" w:space="0" w:color="auto"/>
            </w:tcBorders>
            <w:hideMark/>
          </w:tcPr>
          <w:p w:rsidR="006D2ED4" w:rsidRPr="00243520" w:rsidRDefault="006D2ED4" w:rsidP="006D2ED4">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91.05±37.52  (A)</w:t>
            </w:r>
          </w:p>
        </w:tc>
        <w:tc>
          <w:tcPr>
            <w:tcW w:w="1534" w:type="dxa"/>
            <w:tcBorders>
              <w:top w:val="single" w:sz="4" w:space="0" w:color="auto"/>
              <w:left w:val="single" w:sz="4" w:space="0" w:color="auto"/>
              <w:bottom w:val="thickThinSmallGap" w:sz="24" w:space="0" w:color="auto"/>
              <w:right w:val="single" w:sz="4" w:space="0" w:color="auto"/>
            </w:tcBorders>
            <w:hideMark/>
          </w:tcPr>
          <w:p w:rsidR="006D2ED4" w:rsidRPr="00243520" w:rsidRDefault="006D2ED4" w:rsidP="006D2ED4">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88.08±11.33  A)</w:t>
            </w:r>
            <w:r w:rsidRPr="00243520">
              <w:rPr>
                <w:rFonts w:asciiTheme="majorBidi" w:hAnsiTheme="majorBidi" w:cstheme="majorBidi" w:hint="cs"/>
                <w:sz w:val="20"/>
                <w:szCs w:val="20"/>
                <w:rtl/>
                <w:lang w:bidi="ar-IQ"/>
              </w:rPr>
              <w:t>)</w:t>
            </w:r>
          </w:p>
        </w:tc>
        <w:tc>
          <w:tcPr>
            <w:tcW w:w="1511" w:type="dxa"/>
            <w:tcBorders>
              <w:top w:val="single" w:sz="4" w:space="0" w:color="auto"/>
              <w:left w:val="single" w:sz="4" w:space="0" w:color="auto"/>
              <w:bottom w:val="thickThinSmallGap" w:sz="24" w:space="0" w:color="auto"/>
              <w:right w:val="thickThinSmallGap" w:sz="24" w:space="0" w:color="auto"/>
            </w:tcBorders>
            <w:hideMark/>
          </w:tcPr>
          <w:p w:rsidR="006D2ED4" w:rsidRPr="00243520" w:rsidRDefault="006D2ED4" w:rsidP="006D2ED4">
            <w:pPr>
              <w:spacing w:after="0" w:line="240" w:lineRule="auto"/>
              <w:jc w:val="center"/>
              <w:rPr>
                <w:rFonts w:asciiTheme="majorBidi" w:hAnsiTheme="majorBidi" w:cstheme="majorBidi"/>
                <w:sz w:val="20"/>
                <w:szCs w:val="20"/>
                <w:rtl/>
                <w:lang w:bidi="ar-IQ"/>
              </w:rPr>
            </w:pPr>
            <w:r w:rsidRPr="00243520">
              <w:rPr>
                <w:rFonts w:asciiTheme="majorBidi" w:hAnsiTheme="majorBidi" w:cstheme="majorBidi"/>
                <w:sz w:val="20"/>
                <w:szCs w:val="20"/>
                <w:lang w:bidi="ar-IQ"/>
              </w:rPr>
              <w:t>87.62±4.57 (A)</w:t>
            </w:r>
          </w:p>
        </w:tc>
      </w:tr>
    </w:tbl>
    <w:p w:rsidR="005C39E3" w:rsidRDefault="005C39E3" w:rsidP="005C39E3">
      <w:pPr>
        <w:tabs>
          <w:tab w:val="left" w:pos="3393"/>
        </w:tabs>
        <w:bidi w:val="0"/>
        <w:spacing w:after="0" w:line="240" w:lineRule="auto"/>
        <w:jc w:val="both"/>
        <w:rPr>
          <w:rFonts w:ascii="Times New Roman" w:hAnsi="Times New Roman" w:cs="Times New Roman"/>
          <w:sz w:val="24"/>
          <w:szCs w:val="24"/>
          <w:lang w:bidi="ar-IQ"/>
        </w:rPr>
      </w:pPr>
    </w:p>
    <w:p w:rsidR="009038DA" w:rsidRDefault="009038DA" w:rsidP="006D2ED4">
      <w:pPr>
        <w:bidi w:val="0"/>
        <w:spacing w:after="0" w:line="240" w:lineRule="auto"/>
        <w:jc w:val="both"/>
        <w:rPr>
          <w:rFonts w:ascii="Times New Roman" w:hAnsi="Times New Roman" w:cs="Times New Roman"/>
          <w:b/>
          <w:bCs/>
          <w:sz w:val="24"/>
          <w:szCs w:val="24"/>
          <w:rtl/>
          <w:lang w:bidi="ar-IQ"/>
        </w:rPr>
      </w:pPr>
      <w:r w:rsidRPr="005C39E3">
        <w:rPr>
          <w:rFonts w:ascii="Times New Roman" w:hAnsi="Times New Roman" w:cs="Times New Roman"/>
          <w:b/>
          <w:bCs/>
          <w:sz w:val="24"/>
          <w:szCs w:val="24"/>
          <w:u w:val="single"/>
        </w:rPr>
        <w:t>Table 7</w:t>
      </w:r>
      <w:r w:rsidRPr="005C39E3">
        <w:rPr>
          <w:rFonts w:ascii="Times New Roman" w:hAnsi="Times New Roman" w:cs="Times New Roman"/>
          <w:sz w:val="24"/>
          <w:szCs w:val="24"/>
        </w:rPr>
        <w:t xml:space="preserve"> Mean values of TSH hormone of CRF patients and control group.</w:t>
      </w:r>
    </w:p>
    <w:p w:rsidR="009038DA" w:rsidRPr="00EC2C3B" w:rsidRDefault="009038DA" w:rsidP="005C39E3">
      <w:pPr>
        <w:tabs>
          <w:tab w:val="left" w:pos="3393"/>
        </w:tabs>
        <w:spacing w:after="0" w:line="240" w:lineRule="auto"/>
        <w:rPr>
          <w:rFonts w:ascii="Times New Roman" w:hAnsi="Times New Roman" w:cs="Times New Roman"/>
          <w:sz w:val="24"/>
          <w:szCs w:val="24"/>
          <w:rtl/>
          <w:lang w:bidi="ar-IQ"/>
        </w:rPr>
      </w:pPr>
    </w:p>
    <w:p w:rsidR="00314732" w:rsidRPr="00FC25BB" w:rsidRDefault="00680E6F" w:rsidP="00280784">
      <w:pPr>
        <w:tabs>
          <w:tab w:val="left" w:pos="3393"/>
        </w:tabs>
        <w:bidi w:val="0"/>
        <w:spacing w:after="0" w:line="240" w:lineRule="auto"/>
        <w:rPr>
          <w:rFonts w:ascii="Times New Roman" w:hAnsi="Times New Roman" w:cs="Times New Roman"/>
          <w:sz w:val="24"/>
          <w:szCs w:val="24"/>
          <w:rtl/>
        </w:rPr>
      </w:pPr>
      <w:r>
        <w:rPr>
          <w:rFonts w:ascii="Times New Roman" w:hAnsi="Times New Roman" w:cs="Times New Roman"/>
          <w:noProof/>
          <w:sz w:val="24"/>
          <w:szCs w:val="24"/>
        </w:rPr>
        <w:drawing>
          <wp:inline distT="0" distB="0" distL="0" distR="0">
            <wp:extent cx="4601261" cy="1915572"/>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5846" cy="1917481"/>
                    </a:xfrm>
                    <a:prstGeom prst="rect">
                      <a:avLst/>
                    </a:prstGeom>
                    <a:noFill/>
                    <a:ln>
                      <a:noFill/>
                    </a:ln>
                  </pic:spPr>
                </pic:pic>
              </a:graphicData>
            </a:graphic>
          </wp:inline>
        </w:drawing>
      </w:r>
      <w:r w:rsidR="00B6480F">
        <w:rPr>
          <w:rFonts w:asciiTheme="majorBidi" w:hAnsiTheme="majorBidi" w:cstheme="majorBidi"/>
          <w:sz w:val="24"/>
          <w:szCs w:val="24"/>
          <w:lang w:bidi="ar-IQ"/>
        </w:rPr>
        <w:t xml:space="preserve">                                     </w:t>
      </w:r>
      <w:r w:rsidR="00B6480F">
        <w:rPr>
          <w:rFonts w:ascii="Times New Roman" w:hAnsi="Times New Roman" w:cs="Times New Roman"/>
          <w:sz w:val="24"/>
          <w:szCs w:val="24"/>
        </w:rPr>
        <w:t xml:space="preserve"> </w:t>
      </w:r>
      <w:r w:rsidR="00314732" w:rsidRPr="00FC25BB">
        <w:rPr>
          <w:rFonts w:ascii="Times New Roman" w:hAnsi="Times New Roman" w:cs="Times New Roman"/>
          <w:sz w:val="24"/>
          <w:szCs w:val="24"/>
        </w:rPr>
        <w:t xml:space="preserve">-Values are mean ± SD.          </w:t>
      </w:r>
    </w:p>
    <w:p w:rsidR="00B6480F" w:rsidRPr="00FC25BB" w:rsidRDefault="00B6480F" w:rsidP="00280784">
      <w:pPr>
        <w:bidi w:val="0"/>
        <w:spacing w:after="0" w:line="240" w:lineRule="auto"/>
        <w:jc w:val="both"/>
        <w:rPr>
          <w:rFonts w:ascii="Times New Roman" w:hAnsi="Times New Roman" w:cs="Times New Roman"/>
          <w:sz w:val="24"/>
          <w:szCs w:val="24"/>
        </w:rPr>
      </w:pPr>
      <w:r w:rsidRPr="00FC25BB">
        <w:rPr>
          <w:rFonts w:ascii="Times New Roman" w:hAnsi="Times New Roman" w:cs="Times New Roman"/>
          <w:sz w:val="24"/>
          <w:szCs w:val="24"/>
        </w:rPr>
        <w:t xml:space="preserve">-The values with different capital letter mean significant at 0.0l level. </w:t>
      </w:r>
    </w:p>
    <w:p w:rsidR="00B6480F" w:rsidRPr="00FC25BB" w:rsidRDefault="00B6480F" w:rsidP="00280784">
      <w:pPr>
        <w:bidi w:val="0"/>
        <w:spacing w:after="0" w:line="240" w:lineRule="auto"/>
        <w:jc w:val="both"/>
        <w:rPr>
          <w:rFonts w:ascii="Times New Roman" w:hAnsi="Times New Roman" w:cs="Times New Roman"/>
          <w:sz w:val="24"/>
          <w:szCs w:val="24"/>
        </w:rPr>
      </w:pPr>
      <w:r w:rsidRPr="00FC25BB">
        <w:rPr>
          <w:rFonts w:ascii="Times New Roman" w:hAnsi="Times New Roman" w:cs="Times New Roman"/>
          <w:sz w:val="24"/>
          <w:szCs w:val="24"/>
        </w:rPr>
        <w:t xml:space="preserve">The values with different small letters are significant at 0.05 level.    </w:t>
      </w:r>
    </w:p>
    <w:p w:rsidR="00B6480F" w:rsidRPr="00FC25BB" w:rsidRDefault="00B6480F" w:rsidP="00280784">
      <w:pPr>
        <w:bidi w:val="0"/>
        <w:spacing w:after="0" w:line="240" w:lineRule="auto"/>
        <w:jc w:val="both"/>
        <w:rPr>
          <w:rFonts w:ascii="Times New Roman" w:hAnsi="Times New Roman" w:cs="Times New Roman"/>
          <w:sz w:val="24"/>
          <w:szCs w:val="24"/>
          <w:rtl/>
          <w:lang w:bidi="ar-IQ"/>
        </w:rPr>
      </w:pPr>
      <w:r w:rsidRPr="00FC25BB">
        <w:rPr>
          <w:rFonts w:ascii="Times New Roman" w:hAnsi="Times New Roman" w:cs="Times New Roman"/>
          <w:sz w:val="24"/>
          <w:szCs w:val="24"/>
        </w:rPr>
        <w:t>-The values with same letters are not significant at 0.05 level.</w:t>
      </w:r>
    </w:p>
    <w:p w:rsidR="00B6480F" w:rsidRPr="00FC25BB" w:rsidRDefault="00B6480F" w:rsidP="00280784">
      <w:pPr>
        <w:bidi w:val="0"/>
        <w:spacing w:after="0" w:line="240" w:lineRule="auto"/>
        <w:jc w:val="both"/>
        <w:rPr>
          <w:rFonts w:asciiTheme="majorBidi" w:hAnsiTheme="majorBidi" w:cstheme="majorBidi"/>
          <w:sz w:val="24"/>
          <w:szCs w:val="24"/>
          <w:rtl/>
          <w:lang w:bidi="ar-IQ"/>
        </w:rPr>
      </w:pPr>
    </w:p>
    <w:p w:rsidR="00FC25BB" w:rsidRDefault="00FC25BB" w:rsidP="00280784">
      <w:pPr>
        <w:spacing w:after="0" w:line="240" w:lineRule="auto"/>
        <w:jc w:val="right"/>
        <w:rPr>
          <w:rFonts w:asciiTheme="majorBidi" w:hAnsiTheme="majorBidi" w:cstheme="majorBidi"/>
          <w:b/>
          <w:bCs/>
          <w:sz w:val="24"/>
          <w:szCs w:val="24"/>
          <w:u w:val="single"/>
          <w:lang w:bidi="ar-IQ"/>
        </w:rPr>
        <w:sectPr w:rsidR="00FC25BB" w:rsidSect="00E7385E">
          <w:type w:val="continuous"/>
          <w:pgSz w:w="11906" w:h="16838"/>
          <w:pgMar w:top="1440" w:right="1800" w:bottom="1440" w:left="1800" w:header="708" w:footer="708" w:gutter="0"/>
          <w:pgNumType w:start="39"/>
          <w:cols w:space="708"/>
          <w:docGrid w:linePitch="360"/>
        </w:sectPr>
      </w:pPr>
    </w:p>
    <w:p w:rsidR="00314732" w:rsidRPr="00FC25BB" w:rsidRDefault="00314732" w:rsidP="00280784">
      <w:pPr>
        <w:spacing w:after="0" w:line="240" w:lineRule="auto"/>
        <w:jc w:val="right"/>
        <w:rPr>
          <w:rFonts w:asciiTheme="majorBidi" w:hAnsiTheme="majorBidi" w:cstheme="majorBidi"/>
          <w:b/>
          <w:bCs/>
          <w:sz w:val="24"/>
          <w:szCs w:val="24"/>
          <w:u w:val="single"/>
        </w:rPr>
      </w:pPr>
      <w:r w:rsidRPr="00FC25BB">
        <w:rPr>
          <w:rFonts w:asciiTheme="majorBidi" w:hAnsiTheme="majorBidi" w:cstheme="majorBidi"/>
          <w:b/>
          <w:bCs/>
          <w:sz w:val="24"/>
          <w:szCs w:val="24"/>
          <w:u w:val="single"/>
          <w:lang w:bidi="ar-IQ"/>
        </w:rPr>
        <w:lastRenderedPageBreak/>
        <w:t>Discussion</w:t>
      </w:r>
      <w:r w:rsidRPr="00FC25BB">
        <w:rPr>
          <w:rFonts w:asciiTheme="majorBidi" w:hAnsiTheme="majorBidi" w:cstheme="majorBidi"/>
          <w:b/>
          <w:bCs/>
          <w:sz w:val="24"/>
          <w:szCs w:val="24"/>
          <w:u w:val="single"/>
        </w:rPr>
        <w:t xml:space="preserve"> </w:t>
      </w:r>
    </w:p>
    <w:p w:rsidR="00EC2C3B" w:rsidRPr="00FC25BB" w:rsidRDefault="00243520" w:rsidP="00280784">
      <w:pPr>
        <w:autoSpaceDE w:val="0"/>
        <w:autoSpaceDN w:val="0"/>
        <w:bidi w:val="0"/>
        <w:adjustRightInd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 xml:space="preserve">     </w:t>
      </w:r>
      <w:r w:rsidR="00314732" w:rsidRPr="00FC25BB">
        <w:rPr>
          <w:rFonts w:asciiTheme="majorBidi" w:hAnsiTheme="majorBidi" w:cstheme="majorBidi"/>
          <w:sz w:val="24"/>
          <w:szCs w:val="24"/>
        </w:rPr>
        <w:t>The percenta</w:t>
      </w:r>
      <w:r w:rsidR="00E01ED3" w:rsidRPr="00FC25BB">
        <w:rPr>
          <w:rFonts w:asciiTheme="majorBidi" w:hAnsiTheme="majorBidi" w:cstheme="majorBidi"/>
          <w:sz w:val="24"/>
          <w:szCs w:val="24"/>
        </w:rPr>
        <w:t xml:space="preserve">ge of CRF  patients to duration of dialysis </w:t>
      </w:r>
      <w:r w:rsidR="00314732" w:rsidRPr="00FC25BB">
        <w:rPr>
          <w:rFonts w:asciiTheme="majorBidi" w:hAnsiTheme="majorBidi" w:cstheme="majorBidi"/>
          <w:sz w:val="24"/>
          <w:szCs w:val="24"/>
        </w:rPr>
        <w:t xml:space="preserve"> is in agreement with other</w:t>
      </w:r>
      <w:r w:rsidR="00EC2C3B" w:rsidRPr="00FC25BB">
        <w:rPr>
          <w:rFonts w:asciiTheme="majorBidi" w:hAnsiTheme="majorBidi" w:cstheme="majorBidi"/>
          <w:sz w:val="24"/>
          <w:szCs w:val="24"/>
        </w:rPr>
        <w:t xml:space="preserve"> studies </w:t>
      </w:r>
      <w:r w:rsidR="001D035E" w:rsidRPr="00FC25BB">
        <w:rPr>
          <w:rFonts w:asciiTheme="majorBidi" w:hAnsiTheme="majorBidi" w:cstheme="majorBidi"/>
          <w:sz w:val="24"/>
          <w:szCs w:val="24"/>
        </w:rPr>
        <w:t>[27]</w:t>
      </w:r>
      <w:r w:rsidR="00314732" w:rsidRPr="00FC25BB">
        <w:rPr>
          <w:rFonts w:asciiTheme="majorBidi" w:hAnsiTheme="majorBidi" w:cstheme="majorBidi"/>
          <w:sz w:val="24"/>
          <w:szCs w:val="24"/>
        </w:rPr>
        <w:t>. The explanation of this result is that dialysis patients are at a marked increased risk for premature death because of a high risk of cardiovascular and infectious complications</w:t>
      </w:r>
      <w:r w:rsidR="001D035E" w:rsidRPr="00FC25BB">
        <w:rPr>
          <w:rFonts w:asciiTheme="majorBidi" w:hAnsiTheme="majorBidi" w:cstheme="majorBidi"/>
          <w:sz w:val="24"/>
          <w:szCs w:val="24"/>
        </w:rPr>
        <w:t>[12]</w:t>
      </w:r>
      <w:r w:rsidR="00314732" w:rsidRPr="00FC25BB">
        <w:rPr>
          <w:rFonts w:asciiTheme="majorBidi" w:hAnsiTheme="majorBidi" w:cstheme="majorBidi"/>
          <w:sz w:val="24"/>
          <w:szCs w:val="24"/>
        </w:rPr>
        <w:t>.</w:t>
      </w:r>
      <w:r w:rsidR="00E01ED3" w:rsidRPr="00FC25BB">
        <w:rPr>
          <w:rFonts w:asciiTheme="majorBidi" w:hAnsiTheme="majorBidi" w:cstheme="majorBidi"/>
          <w:sz w:val="24"/>
          <w:szCs w:val="24"/>
        </w:rPr>
        <w:t xml:space="preserve"> In this study  high percentage of CRF female patients presented with menstrual cycle irregularity when compared with control group.</w:t>
      </w:r>
      <w:r w:rsidR="006D2ED4">
        <w:rPr>
          <w:rFonts w:asciiTheme="majorBidi" w:hAnsiTheme="majorBidi" w:cstheme="majorBidi"/>
          <w:sz w:val="24"/>
          <w:szCs w:val="24"/>
        </w:rPr>
        <w:t xml:space="preserve"> </w:t>
      </w:r>
      <w:r w:rsidR="00E01ED3" w:rsidRPr="00FC25BB">
        <w:rPr>
          <w:rFonts w:asciiTheme="majorBidi" w:hAnsiTheme="majorBidi" w:cstheme="majorBidi"/>
          <w:sz w:val="24"/>
          <w:szCs w:val="24"/>
        </w:rPr>
        <w:t xml:space="preserve">The same findings are reported </w:t>
      </w:r>
      <w:r w:rsidR="00E01ED3" w:rsidRPr="00FC25BB">
        <w:rPr>
          <w:rFonts w:asciiTheme="majorBidi" w:hAnsiTheme="majorBidi" w:cstheme="majorBidi"/>
          <w:sz w:val="24"/>
          <w:szCs w:val="24"/>
          <w:lang w:bidi="ar-IQ"/>
        </w:rPr>
        <w:t>by</w:t>
      </w:r>
      <w:r w:rsidR="00E01ED3" w:rsidRPr="00FC25BB">
        <w:rPr>
          <w:rFonts w:asciiTheme="majorBidi" w:hAnsiTheme="majorBidi" w:cstheme="majorBidi"/>
          <w:i/>
          <w:iCs/>
          <w:sz w:val="24"/>
          <w:szCs w:val="24"/>
        </w:rPr>
        <w:t xml:space="preserve"> </w:t>
      </w:r>
      <w:r w:rsidR="00E01ED3" w:rsidRPr="00FC25BB">
        <w:rPr>
          <w:rFonts w:asciiTheme="majorBidi" w:hAnsiTheme="majorBidi" w:cstheme="majorBidi"/>
          <w:sz w:val="24"/>
          <w:szCs w:val="24"/>
        </w:rPr>
        <w:t xml:space="preserve">other studies </w:t>
      </w:r>
      <w:r w:rsidR="001D035E" w:rsidRPr="00FC25BB">
        <w:rPr>
          <w:rFonts w:asciiTheme="majorBidi" w:hAnsiTheme="majorBidi" w:cstheme="majorBidi"/>
          <w:sz w:val="24"/>
          <w:szCs w:val="24"/>
        </w:rPr>
        <w:t>[2,15]</w:t>
      </w:r>
      <w:r w:rsidR="00E01ED3" w:rsidRPr="00FC25BB">
        <w:rPr>
          <w:rFonts w:asciiTheme="majorBidi" w:hAnsiTheme="majorBidi" w:cstheme="majorBidi"/>
          <w:sz w:val="24"/>
          <w:szCs w:val="24"/>
        </w:rPr>
        <w:t xml:space="preserve">.The explanation of this result  that is </w:t>
      </w:r>
      <w:r w:rsidR="00E01ED3" w:rsidRPr="00FC25BB">
        <w:rPr>
          <w:rFonts w:asciiTheme="majorBidi" w:hAnsiTheme="majorBidi" w:cstheme="majorBidi"/>
          <w:sz w:val="24"/>
          <w:szCs w:val="24"/>
        </w:rPr>
        <w:lastRenderedPageBreak/>
        <w:t>menstrual cycle irregularity associated  with hypothalamic-pituitary gonadal dysf</w:t>
      </w:r>
      <w:r w:rsidR="003D4DA5">
        <w:rPr>
          <w:rFonts w:asciiTheme="majorBidi" w:hAnsiTheme="majorBidi" w:cstheme="majorBidi"/>
          <w:sz w:val="24"/>
          <w:szCs w:val="24"/>
        </w:rPr>
        <w:t>unction</w:t>
      </w:r>
      <w:r w:rsidR="00E01ED3"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E01ED3" w:rsidRPr="00FC25BB">
        <w:rPr>
          <w:rFonts w:asciiTheme="majorBidi" w:hAnsiTheme="majorBidi" w:cstheme="majorBidi"/>
          <w:sz w:val="24"/>
          <w:szCs w:val="24"/>
        </w:rPr>
        <w:t>as well as</w:t>
      </w:r>
      <w:r w:rsidR="00E01ED3" w:rsidRPr="00FC25BB">
        <w:rPr>
          <w:rFonts w:asciiTheme="majorBidi" w:eastAsia="Times New Roman" w:hAnsiTheme="majorBidi" w:cstheme="majorBidi"/>
          <w:sz w:val="24"/>
          <w:szCs w:val="24"/>
        </w:rPr>
        <w:t xml:space="preserve">  uremic coagulopathy and </w:t>
      </w:r>
      <w:proofErr w:type="spellStart"/>
      <w:r w:rsidR="00E01ED3" w:rsidRPr="00FC25BB">
        <w:rPr>
          <w:rFonts w:asciiTheme="majorBidi" w:eastAsia="Times New Roman" w:hAnsiTheme="majorBidi" w:cstheme="majorBidi"/>
          <w:sz w:val="24"/>
          <w:szCs w:val="24"/>
        </w:rPr>
        <w:t>heparinization</w:t>
      </w:r>
      <w:proofErr w:type="spellEnd"/>
      <w:r w:rsidR="00E01ED3" w:rsidRPr="00FC25BB">
        <w:rPr>
          <w:rFonts w:asciiTheme="majorBidi" w:eastAsia="Times New Roman" w:hAnsiTheme="majorBidi" w:cstheme="majorBidi"/>
          <w:sz w:val="24"/>
          <w:szCs w:val="24"/>
        </w:rPr>
        <w:t xml:space="preserve"> during HD intensify abnormal menstrual bleeding </w:t>
      </w:r>
      <w:r w:rsidR="001D035E" w:rsidRPr="00FC25BB">
        <w:rPr>
          <w:rFonts w:asciiTheme="majorBidi" w:hAnsiTheme="majorBidi" w:cstheme="majorBidi"/>
          <w:sz w:val="24"/>
          <w:szCs w:val="24"/>
        </w:rPr>
        <w:t>[24]</w:t>
      </w:r>
      <w:r w:rsidR="00E01ED3" w:rsidRPr="00FC25BB">
        <w:rPr>
          <w:rFonts w:asciiTheme="majorBidi" w:hAnsiTheme="majorBidi" w:cstheme="majorBidi"/>
          <w:sz w:val="24"/>
          <w:szCs w:val="24"/>
        </w:rPr>
        <w:t>.</w:t>
      </w:r>
      <w:r w:rsidR="00E01ED3" w:rsidRPr="00FC25BB">
        <w:rPr>
          <w:rFonts w:asciiTheme="majorBidi" w:hAnsiTheme="majorBidi" w:cstheme="majorBidi"/>
          <w:sz w:val="24"/>
          <w:szCs w:val="24"/>
          <w:lang w:bidi="ar-IQ"/>
        </w:rPr>
        <w:t xml:space="preserve"> The results  of this study show that high percentage of erectile dysfunction in CRF patients w</w:t>
      </w:r>
      <w:r w:rsidR="00924BD5" w:rsidRPr="00FC25BB">
        <w:rPr>
          <w:rFonts w:asciiTheme="majorBidi" w:hAnsiTheme="majorBidi" w:cstheme="majorBidi"/>
          <w:sz w:val="24"/>
          <w:szCs w:val="24"/>
          <w:lang w:bidi="ar-IQ"/>
        </w:rPr>
        <w:t>hen compared with control group</w:t>
      </w:r>
      <w:r w:rsidR="00E01ED3" w:rsidRPr="00FC25BB">
        <w:rPr>
          <w:rFonts w:asciiTheme="majorBidi" w:hAnsiTheme="majorBidi" w:cstheme="majorBidi"/>
          <w:sz w:val="24"/>
          <w:szCs w:val="24"/>
          <w:lang w:bidi="ar-IQ"/>
        </w:rPr>
        <w:t xml:space="preserve">. This result is </w:t>
      </w:r>
      <w:r w:rsidR="00E01ED3" w:rsidRPr="00FC25BB">
        <w:rPr>
          <w:rFonts w:asciiTheme="majorBidi" w:hAnsiTheme="majorBidi" w:cstheme="majorBidi"/>
          <w:sz w:val="24"/>
          <w:szCs w:val="24"/>
        </w:rPr>
        <w:t>consistent  with results of other studies</w:t>
      </w:r>
      <w:r w:rsidR="001D035E" w:rsidRPr="00FC25BB">
        <w:rPr>
          <w:rFonts w:asciiTheme="majorBidi" w:hAnsiTheme="majorBidi" w:cstheme="majorBidi"/>
          <w:sz w:val="24"/>
          <w:szCs w:val="24"/>
          <w:lang w:bidi="ar-IQ"/>
        </w:rPr>
        <w:t xml:space="preserve"> [8,22]</w:t>
      </w:r>
      <w:r w:rsidR="00E01ED3" w:rsidRPr="00FC25BB">
        <w:rPr>
          <w:rFonts w:asciiTheme="majorBidi" w:eastAsia="Times New Roman" w:hAnsiTheme="majorBidi" w:cstheme="majorBidi"/>
          <w:sz w:val="24"/>
          <w:szCs w:val="24"/>
        </w:rPr>
        <w:t>. T</w:t>
      </w:r>
      <w:r w:rsidR="00924BD5" w:rsidRPr="00FC25BB">
        <w:rPr>
          <w:rFonts w:asciiTheme="majorBidi" w:eastAsia="Times New Roman" w:hAnsiTheme="majorBidi" w:cstheme="majorBidi"/>
          <w:sz w:val="24"/>
          <w:szCs w:val="24"/>
        </w:rPr>
        <w:t>he explanation of this result was</w:t>
      </w:r>
      <w:r w:rsidR="00E01ED3" w:rsidRPr="00FC25BB">
        <w:rPr>
          <w:rFonts w:asciiTheme="majorBidi" w:eastAsia="Times New Roman" w:hAnsiTheme="majorBidi" w:cstheme="majorBidi"/>
          <w:sz w:val="24"/>
          <w:szCs w:val="24"/>
        </w:rPr>
        <w:t xml:space="preserve"> that erectile dysfunction can occur due to  decreased arterial blood flow, venous leakage due to shunts, altered penile smooth muscle function, hormonal disturbances, side </w:t>
      </w:r>
      <w:r w:rsidR="00E01ED3" w:rsidRPr="00FC25BB">
        <w:rPr>
          <w:rFonts w:asciiTheme="majorBidi" w:eastAsia="Times New Roman" w:hAnsiTheme="majorBidi" w:cstheme="majorBidi"/>
          <w:sz w:val="24"/>
          <w:szCs w:val="24"/>
        </w:rPr>
        <w:lastRenderedPageBreak/>
        <w:t>effect of medications, and neurogenic dysfunction</w:t>
      </w:r>
      <w:r w:rsidR="001D035E" w:rsidRPr="00FC25BB">
        <w:rPr>
          <w:rFonts w:asciiTheme="majorBidi" w:hAnsiTheme="majorBidi" w:cstheme="majorBidi"/>
          <w:sz w:val="24"/>
          <w:szCs w:val="24"/>
        </w:rPr>
        <w:t>[24]</w:t>
      </w:r>
      <w:r w:rsidR="00E01ED3" w:rsidRPr="00FC25BB">
        <w:rPr>
          <w:rFonts w:asciiTheme="majorBidi" w:hAnsiTheme="majorBidi" w:cstheme="majorBidi"/>
          <w:sz w:val="24"/>
          <w:szCs w:val="24"/>
        </w:rPr>
        <w:t>.</w:t>
      </w:r>
      <w:r w:rsidR="00E01ED3" w:rsidRPr="00FC25BB">
        <w:rPr>
          <w:rFonts w:asciiTheme="majorBidi" w:hAnsiTheme="majorBidi" w:cstheme="majorBidi"/>
          <w:sz w:val="24"/>
          <w:szCs w:val="24"/>
          <w:lang w:bidi="ar-IQ"/>
        </w:rPr>
        <w:t xml:space="preserve"> </w:t>
      </w:r>
      <w:r w:rsidR="00E01ED3" w:rsidRPr="00FC25BB">
        <w:rPr>
          <w:rFonts w:asciiTheme="majorBidi" w:hAnsiTheme="majorBidi" w:cstheme="majorBidi"/>
          <w:sz w:val="24"/>
          <w:szCs w:val="24"/>
        </w:rPr>
        <w:t>It is revealed in this study  that the percentage</w:t>
      </w:r>
      <w:r w:rsidR="00E01ED3" w:rsidRPr="00FC25BB">
        <w:rPr>
          <w:rFonts w:asciiTheme="majorBidi" w:hAnsiTheme="majorBidi" w:cstheme="majorBidi"/>
          <w:sz w:val="24"/>
          <w:szCs w:val="24"/>
          <w:lang w:bidi="ar-IQ"/>
        </w:rPr>
        <w:t xml:space="preserve"> of</w:t>
      </w:r>
      <w:r w:rsidR="006D2ED4">
        <w:rPr>
          <w:rFonts w:asciiTheme="majorBidi" w:hAnsiTheme="majorBidi" w:cstheme="majorBidi"/>
          <w:sz w:val="24"/>
          <w:szCs w:val="24"/>
          <w:lang w:bidi="ar-IQ"/>
        </w:rPr>
        <w:t xml:space="preserve"> CRF patients with CAN is 54.3%</w:t>
      </w:r>
      <w:bookmarkStart w:id="0" w:name="_GoBack"/>
      <w:bookmarkEnd w:id="0"/>
      <w:r w:rsidR="00E01ED3" w:rsidRPr="00FC25BB">
        <w:rPr>
          <w:rFonts w:asciiTheme="majorBidi" w:hAnsiTheme="majorBidi" w:cstheme="majorBidi"/>
          <w:sz w:val="24"/>
          <w:szCs w:val="24"/>
          <w:lang w:bidi="ar-IQ"/>
        </w:rPr>
        <w:t>.</w:t>
      </w:r>
      <w:r w:rsidR="006D2ED4">
        <w:rPr>
          <w:rFonts w:asciiTheme="majorBidi" w:hAnsiTheme="majorBidi" w:cstheme="majorBidi"/>
          <w:sz w:val="24"/>
          <w:szCs w:val="24"/>
          <w:lang w:bidi="ar-IQ"/>
        </w:rPr>
        <w:t xml:space="preserve"> </w:t>
      </w:r>
      <w:r w:rsidR="00E01ED3" w:rsidRPr="00FC25BB">
        <w:rPr>
          <w:rFonts w:asciiTheme="majorBidi" w:hAnsiTheme="majorBidi" w:cstheme="majorBidi"/>
          <w:sz w:val="24"/>
          <w:szCs w:val="24"/>
          <w:lang w:bidi="ar-IQ"/>
        </w:rPr>
        <w:t>This result match with</w:t>
      </w:r>
      <w:r w:rsidR="00E01ED3" w:rsidRPr="00FC25BB">
        <w:rPr>
          <w:rFonts w:asciiTheme="majorBidi" w:hAnsiTheme="majorBidi" w:cstheme="majorBidi"/>
          <w:color w:val="231F20"/>
          <w:sz w:val="24"/>
          <w:szCs w:val="24"/>
        </w:rPr>
        <w:t xml:space="preserve"> results obtained by</w:t>
      </w:r>
      <w:r w:rsidR="001D035E" w:rsidRPr="00FC25BB">
        <w:rPr>
          <w:rFonts w:asciiTheme="majorBidi" w:hAnsiTheme="majorBidi" w:cstheme="majorBidi"/>
          <w:color w:val="231F20"/>
          <w:sz w:val="24"/>
          <w:szCs w:val="24"/>
        </w:rPr>
        <w:t>[19]</w:t>
      </w:r>
      <w:r w:rsidR="00E01ED3" w:rsidRPr="00FC25BB">
        <w:rPr>
          <w:rFonts w:asciiTheme="majorBidi" w:hAnsiTheme="majorBidi" w:cstheme="majorBidi"/>
          <w:sz w:val="24"/>
          <w:szCs w:val="24"/>
        </w:rPr>
        <w:t xml:space="preserve">. The explanation of this result that  diabetes mellitus is a common cause of CRF and autonomic nervous dysfunction is a known complication of diabetes </w:t>
      </w:r>
      <w:r w:rsidR="001D035E" w:rsidRPr="00FC25BB">
        <w:rPr>
          <w:rFonts w:asciiTheme="majorBidi" w:hAnsiTheme="majorBidi" w:cstheme="majorBidi"/>
          <w:color w:val="231F20"/>
          <w:sz w:val="24"/>
          <w:szCs w:val="24"/>
        </w:rPr>
        <w:t>[28]</w:t>
      </w:r>
      <w:r w:rsidR="00E01ED3" w:rsidRPr="00FC25BB">
        <w:rPr>
          <w:rFonts w:asciiTheme="majorBidi" w:hAnsiTheme="majorBidi" w:cstheme="majorBidi"/>
          <w:color w:val="231F20"/>
          <w:sz w:val="24"/>
          <w:szCs w:val="24"/>
        </w:rPr>
        <w:t xml:space="preserve"> .Another explanation is that CAN  associated</w:t>
      </w:r>
      <w:r w:rsidR="001D035E" w:rsidRPr="00FC25BB">
        <w:rPr>
          <w:rFonts w:asciiTheme="majorBidi" w:hAnsiTheme="majorBidi" w:cstheme="majorBidi"/>
          <w:color w:val="231F20"/>
          <w:sz w:val="24"/>
          <w:szCs w:val="24"/>
        </w:rPr>
        <w:t xml:space="preserve"> with hyperparathyroidism [16]</w:t>
      </w:r>
      <w:r w:rsidR="00E01ED3" w:rsidRPr="00FC25BB">
        <w:rPr>
          <w:rFonts w:asciiTheme="majorBidi" w:hAnsiTheme="majorBidi" w:cstheme="majorBidi"/>
          <w:color w:val="231F20"/>
          <w:sz w:val="24"/>
          <w:szCs w:val="24"/>
        </w:rPr>
        <w:t>.</w:t>
      </w:r>
      <w:r w:rsidR="00E01ED3" w:rsidRPr="00FC25BB">
        <w:rPr>
          <w:rFonts w:asciiTheme="majorBidi" w:hAnsiTheme="majorBidi" w:cstheme="majorBidi"/>
          <w:sz w:val="24"/>
          <w:szCs w:val="24"/>
        </w:rPr>
        <w:t xml:space="preserve"> </w:t>
      </w:r>
      <w:r w:rsidR="006F1FF1" w:rsidRPr="00FC25BB">
        <w:rPr>
          <w:rFonts w:asciiTheme="majorBidi" w:hAnsiTheme="majorBidi" w:cstheme="majorBidi"/>
          <w:color w:val="231F20"/>
          <w:sz w:val="24"/>
          <w:szCs w:val="24"/>
        </w:rPr>
        <w:t>With regard to stage of CAN the result of this study  revealed that parasympathetic dysfunction occurs with greater frequency than sympathetic dysfunction .This result agree with</w:t>
      </w:r>
      <w:bookmarkStart w:id="1" w:name="702235"/>
      <w:bookmarkStart w:id="2" w:name="702236"/>
      <w:bookmarkEnd w:id="1"/>
      <w:bookmarkEnd w:id="2"/>
      <w:r w:rsidR="001D035E" w:rsidRPr="00FC25BB">
        <w:rPr>
          <w:rFonts w:asciiTheme="majorBidi" w:hAnsiTheme="majorBidi" w:cstheme="majorBidi"/>
          <w:color w:val="231F20"/>
          <w:sz w:val="24"/>
          <w:szCs w:val="24"/>
        </w:rPr>
        <w:t>[16,17]</w:t>
      </w:r>
      <w:r w:rsidR="006F1FF1" w:rsidRPr="00FC25BB">
        <w:rPr>
          <w:rFonts w:asciiTheme="majorBidi" w:hAnsiTheme="majorBidi" w:cstheme="majorBidi"/>
          <w:color w:val="231F20"/>
          <w:sz w:val="24"/>
          <w:szCs w:val="24"/>
        </w:rPr>
        <w:t xml:space="preserve">. The explanation of this result impairment of vagal function has been found to be associated with diabetic nephropathy </w:t>
      </w:r>
      <w:r w:rsidR="001D035E" w:rsidRPr="00FC25BB">
        <w:rPr>
          <w:rFonts w:asciiTheme="majorBidi" w:hAnsiTheme="majorBidi" w:cstheme="majorBidi"/>
          <w:color w:val="231F20"/>
          <w:sz w:val="24"/>
          <w:szCs w:val="24"/>
        </w:rPr>
        <w:t>[28]</w:t>
      </w:r>
      <w:r w:rsidR="006F1FF1" w:rsidRPr="00FC25BB">
        <w:rPr>
          <w:rFonts w:asciiTheme="majorBidi" w:hAnsiTheme="majorBidi" w:cstheme="majorBidi"/>
          <w:color w:val="231F20"/>
          <w:sz w:val="24"/>
          <w:szCs w:val="24"/>
        </w:rPr>
        <w:t>.</w:t>
      </w:r>
      <w:r w:rsidR="006F1FF1" w:rsidRPr="00FC25BB">
        <w:rPr>
          <w:rFonts w:asciiTheme="majorBidi" w:hAnsiTheme="majorBidi" w:cstheme="majorBidi"/>
          <w:sz w:val="24"/>
          <w:szCs w:val="24"/>
          <w:lang w:bidi="ar-IQ"/>
        </w:rPr>
        <w:t xml:space="preserve"> </w:t>
      </w:r>
      <w:r w:rsidR="00D85404" w:rsidRPr="00FC25BB">
        <w:rPr>
          <w:rFonts w:asciiTheme="majorBidi" w:hAnsiTheme="majorBidi" w:cstheme="majorBidi"/>
          <w:sz w:val="24"/>
          <w:szCs w:val="24"/>
          <w:lang w:bidi="ar-IQ"/>
        </w:rPr>
        <w:t xml:space="preserve">The </w:t>
      </w:r>
      <w:r w:rsidR="006F1FF1" w:rsidRPr="00FC25BB">
        <w:rPr>
          <w:rFonts w:asciiTheme="majorBidi" w:hAnsiTheme="majorBidi" w:cstheme="majorBidi"/>
          <w:sz w:val="24"/>
          <w:szCs w:val="24"/>
          <w:lang w:bidi="ar-IQ"/>
        </w:rPr>
        <w:t xml:space="preserve">result  revealed that high significant increase in prolactin hormone level in CRF patients when compared with control groups. This result agree with result obtained from other studies </w:t>
      </w:r>
      <w:r w:rsidR="001D035E" w:rsidRPr="00FC25BB">
        <w:rPr>
          <w:rFonts w:asciiTheme="majorBidi" w:hAnsiTheme="majorBidi" w:cstheme="majorBidi"/>
          <w:sz w:val="24"/>
          <w:szCs w:val="24"/>
          <w:lang w:bidi="ar-IQ"/>
        </w:rPr>
        <w:t>[8]</w:t>
      </w:r>
      <w:r w:rsidR="006F1FF1" w:rsidRPr="00FC25BB">
        <w:rPr>
          <w:rFonts w:asciiTheme="majorBidi" w:hAnsiTheme="majorBidi" w:cstheme="majorBidi"/>
          <w:sz w:val="24"/>
          <w:szCs w:val="24"/>
          <w:lang w:bidi="ar-IQ"/>
        </w:rPr>
        <w:t xml:space="preserve">. The explanation of this result that </w:t>
      </w:r>
      <w:r w:rsidR="006F1FF1" w:rsidRPr="00FC25BB">
        <w:rPr>
          <w:rFonts w:asciiTheme="majorBidi" w:hAnsiTheme="majorBidi" w:cstheme="majorBidi"/>
          <w:sz w:val="24"/>
          <w:szCs w:val="24"/>
        </w:rPr>
        <w:t xml:space="preserve"> an increase in serum prolactin levels is primarily due to decreased dopaminergic inhibition of prolactin release from pituitary gland and secondaril</w:t>
      </w:r>
      <w:r w:rsidR="001D035E" w:rsidRPr="00FC25BB">
        <w:rPr>
          <w:rFonts w:asciiTheme="majorBidi" w:hAnsiTheme="majorBidi" w:cstheme="majorBidi"/>
          <w:sz w:val="24"/>
          <w:szCs w:val="24"/>
        </w:rPr>
        <w:t>y due to decreased LHRH release[24]</w:t>
      </w:r>
      <w:r w:rsidR="00D85404" w:rsidRPr="00FC25BB">
        <w:rPr>
          <w:rFonts w:asciiTheme="majorBidi" w:hAnsiTheme="majorBidi" w:cstheme="majorBidi"/>
          <w:sz w:val="24"/>
          <w:szCs w:val="24"/>
        </w:rPr>
        <w:t>.</w:t>
      </w:r>
      <w:r w:rsidR="006F1FF1" w:rsidRPr="00FC25BB">
        <w:rPr>
          <w:rFonts w:asciiTheme="majorBidi" w:hAnsiTheme="majorBidi" w:cstheme="majorBidi"/>
          <w:sz w:val="24"/>
          <w:szCs w:val="24"/>
          <w:lang w:bidi="ar-IQ"/>
        </w:rPr>
        <w:t>On the other hand ,</w:t>
      </w:r>
      <w:r w:rsidR="003D4DA5">
        <w:rPr>
          <w:rFonts w:asciiTheme="majorBidi" w:hAnsiTheme="majorBidi" w:cstheme="majorBidi"/>
          <w:sz w:val="24"/>
          <w:szCs w:val="24"/>
          <w:lang w:bidi="ar-IQ"/>
        </w:rPr>
        <w:t xml:space="preserve"> </w:t>
      </w:r>
      <w:r w:rsidR="006F1FF1" w:rsidRPr="00FC25BB">
        <w:rPr>
          <w:rFonts w:asciiTheme="majorBidi" w:hAnsiTheme="majorBidi" w:cstheme="majorBidi"/>
          <w:sz w:val="24"/>
          <w:szCs w:val="24"/>
          <w:lang w:bidi="ar-IQ"/>
        </w:rPr>
        <w:t xml:space="preserve">there is impairment of  prolactin biodegradation by inefficient kidneys leads to </w:t>
      </w:r>
      <w:proofErr w:type="spellStart"/>
      <w:r w:rsidR="006F1FF1" w:rsidRPr="00FC25BB">
        <w:rPr>
          <w:rFonts w:asciiTheme="majorBidi" w:hAnsiTheme="majorBidi" w:cstheme="majorBidi"/>
          <w:sz w:val="24"/>
          <w:szCs w:val="24"/>
          <w:lang w:bidi="ar-IQ"/>
        </w:rPr>
        <w:t>hyperprolactinaemia</w:t>
      </w:r>
      <w:proofErr w:type="spellEnd"/>
      <w:r w:rsidR="006F1FF1" w:rsidRPr="00FC25BB">
        <w:rPr>
          <w:rFonts w:asciiTheme="majorBidi" w:hAnsiTheme="majorBidi" w:cstheme="majorBidi"/>
          <w:sz w:val="24"/>
          <w:szCs w:val="24"/>
          <w:lang w:bidi="ar-IQ"/>
        </w:rPr>
        <w:t xml:space="preserve"> </w:t>
      </w:r>
      <w:r w:rsidR="001D035E" w:rsidRPr="00FC25BB">
        <w:rPr>
          <w:rFonts w:asciiTheme="majorBidi" w:hAnsiTheme="majorBidi" w:cstheme="majorBidi"/>
          <w:sz w:val="24"/>
          <w:szCs w:val="24"/>
          <w:lang w:bidi="ar-IQ"/>
        </w:rPr>
        <w:t>[22]</w:t>
      </w:r>
      <w:r w:rsidR="006F1FF1" w:rsidRPr="00FC25BB">
        <w:rPr>
          <w:rFonts w:asciiTheme="majorBidi" w:hAnsiTheme="majorBidi" w:cstheme="majorBidi"/>
          <w:sz w:val="24"/>
          <w:szCs w:val="24"/>
          <w:lang w:bidi="ar-IQ"/>
        </w:rPr>
        <w:t>.</w:t>
      </w:r>
      <w:r w:rsidR="006F1FF1" w:rsidRPr="00FC25BB">
        <w:rPr>
          <w:rFonts w:asciiTheme="majorBidi" w:hAnsiTheme="majorBidi" w:cstheme="majorBidi"/>
          <w:b/>
          <w:bCs/>
          <w:sz w:val="24"/>
          <w:szCs w:val="24"/>
          <w:lang w:bidi="ar-IQ"/>
        </w:rPr>
        <w:t xml:space="preserve"> </w:t>
      </w:r>
      <w:r w:rsidR="00E01ED3" w:rsidRPr="00FC25BB">
        <w:rPr>
          <w:rFonts w:asciiTheme="majorBidi" w:hAnsiTheme="majorBidi" w:cstheme="majorBidi"/>
          <w:sz w:val="24"/>
          <w:szCs w:val="24"/>
        </w:rPr>
        <w:t xml:space="preserve"> </w:t>
      </w:r>
      <w:r w:rsidR="006F1FF1" w:rsidRPr="00FC25BB">
        <w:rPr>
          <w:rFonts w:asciiTheme="majorBidi" w:hAnsiTheme="majorBidi" w:cstheme="majorBidi"/>
          <w:sz w:val="24"/>
          <w:szCs w:val="24"/>
        </w:rPr>
        <w:t xml:space="preserve">There was a high significant increase in serum level of FSH hormone in CRF patients  when compared with control group , </w:t>
      </w:r>
      <w:r w:rsidR="006F1FF1" w:rsidRPr="00FC25BB">
        <w:rPr>
          <w:rFonts w:asciiTheme="majorBidi" w:hAnsiTheme="majorBidi" w:cstheme="majorBidi"/>
          <w:sz w:val="24"/>
          <w:szCs w:val="24"/>
          <w:lang w:bidi="ar-IQ"/>
        </w:rPr>
        <w:t>also the study revealed that there is no significant decrease in level of FSH wit</w:t>
      </w:r>
      <w:r w:rsidR="00EC2C3B" w:rsidRPr="00FC25BB">
        <w:rPr>
          <w:rFonts w:asciiTheme="majorBidi" w:hAnsiTheme="majorBidi" w:cstheme="majorBidi"/>
          <w:sz w:val="24"/>
          <w:szCs w:val="24"/>
          <w:lang w:bidi="ar-IQ"/>
        </w:rPr>
        <w:t>h continuous HD</w:t>
      </w:r>
      <w:r w:rsidR="006F1FF1" w:rsidRPr="00FC25BB">
        <w:rPr>
          <w:rFonts w:asciiTheme="majorBidi" w:hAnsiTheme="majorBidi" w:cstheme="majorBidi"/>
          <w:sz w:val="24"/>
          <w:szCs w:val="24"/>
        </w:rPr>
        <w:t xml:space="preserve"> (between CRF patients groups). </w:t>
      </w:r>
      <w:r w:rsidR="006F1FF1" w:rsidRPr="00FC25BB">
        <w:rPr>
          <w:rFonts w:asciiTheme="majorBidi" w:hAnsiTheme="majorBidi" w:cstheme="majorBidi"/>
          <w:sz w:val="24"/>
          <w:szCs w:val="24"/>
          <w:lang w:bidi="ar-IQ"/>
        </w:rPr>
        <w:t>This result is consistent  with other studies</w:t>
      </w:r>
      <w:r w:rsidR="00D85404" w:rsidRPr="00FC25BB">
        <w:rPr>
          <w:rFonts w:asciiTheme="majorBidi" w:hAnsiTheme="majorBidi" w:cstheme="majorBidi"/>
          <w:sz w:val="24"/>
          <w:szCs w:val="24"/>
        </w:rPr>
        <w:t xml:space="preserve"> </w:t>
      </w:r>
      <w:r w:rsidR="00924BD5" w:rsidRPr="00FC25BB">
        <w:rPr>
          <w:rFonts w:asciiTheme="majorBidi" w:hAnsiTheme="majorBidi" w:cstheme="majorBidi"/>
          <w:sz w:val="24"/>
          <w:szCs w:val="24"/>
        </w:rPr>
        <w:t>[26,</w:t>
      </w:r>
      <w:r w:rsidR="006D2ED4">
        <w:rPr>
          <w:rFonts w:asciiTheme="majorBidi" w:hAnsiTheme="majorBidi" w:cstheme="majorBidi"/>
          <w:sz w:val="24"/>
          <w:szCs w:val="24"/>
        </w:rPr>
        <w:t xml:space="preserve"> </w:t>
      </w:r>
      <w:r w:rsidR="00924BD5" w:rsidRPr="00FC25BB">
        <w:rPr>
          <w:rFonts w:asciiTheme="majorBidi" w:hAnsiTheme="majorBidi" w:cstheme="majorBidi"/>
          <w:sz w:val="24"/>
          <w:szCs w:val="24"/>
        </w:rPr>
        <w:t>29]</w:t>
      </w:r>
      <w:r w:rsidR="006F1FF1" w:rsidRPr="00FC25BB">
        <w:rPr>
          <w:rFonts w:asciiTheme="majorBidi" w:hAnsiTheme="majorBidi" w:cstheme="majorBidi"/>
          <w:sz w:val="24"/>
          <w:szCs w:val="24"/>
        </w:rPr>
        <w:t>.</w:t>
      </w:r>
      <w:r w:rsidR="006D2ED4">
        <w:rPr>
          <w:rFonts w:asciiTheme="majorBidi" w:hAnsiTheme="majorBidi" w:cstheme="majorBidi"/>
          <w:sz w:val="24"/>
          <w:szCs w:val="24"/>
        </w:rPr>
        <w:t xml:space="preserve"> </w:t>
      </w:r>
      <w:r w:rsidR="006F1FF1" w:rsidRPr="00FC25BB">
        <w:rPr>
          <w:rFonts w:asciiTheme="majorBidi" w:hAnsiTheme="majorBidi" w:cstheme="majorBidi"/>
          <w:sz w:val="24"/>
          <w:szCs w:val="24"/>
        </w:rPr>
        <w:t>The explanation of this result that increase level FSH hormone due to changes in hypothalamic-pituitary function  the pulsatile</w:t>
      </w:r>
      <w:r w:rsidR="006D2ED4">
        <w:rPr>
          <w:rFonts w:asciiTheme="majorBidi" w:hAnsiTheme="majorBidi" w:cstheme="majorBidi"/>
          <w:sz w:val="24"/>
          <w:szCs w:val="24"/>
        </w:rPr>
        <w:t xml:space="preserve"> secretion of </w:t>
      </w:r>
      <w:proofErr w:type="spellStart"/>
      <w:r w:rsidR="006D2ED4">
        <w:rPr>
          <w:rFonts w:asciiTheme="majorBidi" w:hAnsiTheme="majorBidi" w:cstheme="majorBidi"/>
          <w:sz w:val="24"/>
          <w:szCs w:val="24"/>
        </w:rPr>
        <w:t>GnRH</w:t>
      </w:r>
      <w:proofErr w:type="spellEnd"/>
      <w:r w:rsidR="006D2ED4">
        <w:rPr>
          <w:rFonts w:asciiTheme="majorBidi" w:hAnsiTheme="majorBidi" w:cstheme="majorBidi"/>
          <w:sz w:val="24"/>
          <w:szCs w:val="24"/>
        </w:rPr>
        <w:t xml:space="preserve"> is disturbed</w:t>
      </w:r>
      <w:r w:rsidR="006F1FF1" w:rsidRPr="00FC25BB">
        <w:rPr>
          <w:rFonts w:asciiTheme="majorBidi" w:hAnsiTheme="majorBidi" w:cstheme="majorBidi"/>
          <w:sz w:val="24"/>
          <w:szCs w:val="24"/>
        </w:rPr>
        <w:t>,</w:t>
      </w:r>
      <w:r w:rsidR="006D2ED4">
        <w:rPr>
          <w:rFonts w:asciiTheme="majorBidi" w:hAnsiTheme="majorBidi" w:cstheme="majorBidi"/>
          <w:sz w:val="24"/>
          <w:szCs w:val="24"/>
        </w:rPr>
        <w:t xml:space="preserve"> </w:t>
      </w:r>
      <w:r w:rsidR="006F1FF1" w:rsidRPr="00FC25BB">
        <w:rPr>
          <w:rFonts w:asciiTheme="majorBidi" w:hAnsiTheme="majorBidi" w:cstheme="majorBidi"/>
          <w:sz w:val="24"/>
          <w:szCs w:val="24"/>
        </w:rPr>
        <w:t>(</w:t>
      </w:r>
      <w:proofErr w:type="spellStart"/>
      <w:r w:rsidR="006F1FF1" w:rsidRPr="00FC25BB">
        <w:rPr>
          <w:rFonts w:asciiTheme="majorBidi" w:hAnsiTheme="majorBidi" w:cstheme="majorBidi"/>
          <w:sz w:val="24"/>
          <w:szCs w:val="24"/>
        </w:rPr>
        <w:t>Gonadotrophin</w:t>
      </w:r>
      <w:proofErr w:type="spellEnd"/>
      <w:r w:rsidR="006F1FF1" w:rsidRPr="00FC25BB">
        <w:rPr>
          <w:rFonts w:asciiTheme="majorBidi" w:hAnsiTheme="majorBidi" w:cstheme="majorBidi"/>
          <w:sz w:val="24"/>
          <w:szCs w:val="24"/>
        </w:rPr>
        <w:t xml:space="preserve"> secretion is calcium dependent) so </w:t>
      </w:r>
      <w:r w:rsidR="006F1FF1" w:rsidRPr="00FC25BB">
        <w:rPr>
          <w:rFonts w:asciiTheme="majorBidi" w:hAnsiTheme="majorBidi" w:cstheme="majorBidi"/>
          <w:sz w:val="24"/>
          <w:szCs w:val="24"/>
        </w:rPr>
        <w:lastRenderedPageBreak/>
        <w:t xml:space="preserve">disturbed calcium and phosphorous metabolism in CRF results in altered </w:t>
      </w:r>
      <w:proofErr w:type="spellStart"/>
      <w:r w:rsidR="006F1FF1" w:rsidRPr="00FC25BB">
        <w:rPr>
          <w:rFonts w:asciiTheme="majorBidi" w:hAnsiTheme="majorBidi" w:cstheme="majorBidi"/>
          <w:sz w:val="24"/>
          <w:szCs w:val="24"/>
        </w:rPr>
        <w:t>gonadotrophin</w:t>
      </w:r>
      <w:proofErr w:type="spellEnd"/>
      <w:r w:rsidR="006F1FF1" w:rsidRPr="00FC25BB">
        <w:rPr>
          <w:rFonts w:asciiTheme="majorBidi" w:hAnsiTheme="majorBidi" w:cstheme="majorBidi"/>
          <w:sz w:val="24"/>
          <w:szCs w:val="24"/>
        </w:rPr>
        <w:t xml:space="preserve"> secr</w:t>
      </w:r>
      <w:r w:rsidR="00924BD5" w:rsidRPr="00FC25BB">
        <w:rPr>
          <w:rFonts w:asciiTheme="majorBidi" w:hAnsiTheme="majorBidi" w:cstheme="majorBidi"/>
          <w:sz w:val="24"/>
          <w:szCs w:val="24"/>
        </w:rPr>
        <w:t>etion[24]</w:t>
      </w:r>
      <w:r w:rsidR="006F1FF1" w:rsidRPr="00FC25BB">
        <w:rPr>
          <w:rFonts w:asciiTheme="majorBidi" w:hAnsiTheme="majorBidi" w:cstheme="majorBidi"/>
          <w:sz w:val="24"/>
          <w:szCs w:val="24"/>
        </w:rPr>
        <w:t xml:space="preserve">. </w:t>
      </w:r>
      <w:r w:rsidR="007C3A10" w:rsidRPr="00FC25BB">
        <w:rPr>
          <w:rFonts w:asciiTheme="majorBidi" w:hAnsiTheme="majorBidi" w:cstheme="majorBidi"/>
          <w:sz w:val="24"/>
          <w:szCs w:val="24"/>
        </w:rPr>
        <w:t>This  study shows  a significant</w:t>
      </w:r>
      <w:r w:rsidR="007C3A10" w:rsidRPr="00FC25BB">
        <w:rPr>
          <w:rFonts w:asciiTheme="majorBidi" w:hAnsiTheme="majorBidi" w:cstheme="majorBidi"/>
          <w:sz w:val="24"/>
          <w:szCs w:val="24"/>
          <w:lang w:bidi="ar-IQ"/>
        </w:rPr>
        <w:t xml:space="preserve"> increase in serum level of estradiol in male patients with CRF when compared with control group . </w:t>
      </w:r>
      <w:r w:rsidR="007C3A10" w:rsidRPr="00FC25BB">
        <w:rPr>
          <w:rFonts w:asciiTheme="majorBidi" w:hAnsiTheme="majorBidi" w:cstheme="majorBidi"/>
          <w:sz w:val="24"/>
          <w:szCs w:val="24"/>
        </w:rPr>
        <w:t xml:space="preserve">These results were concurrent with </w:t>
      </w:r>
      <w:r w:rsidR="00924BD5" w:rsidRPr="00FC25BB">
        <w:rPr>
          <w:rFonts w:asciiTheme="majorBidi" w:hAnsiTheme="majorBidi" w:cstheme="majorBidi"/>
          <w:sz w:val="24"/>
          <w:szCs w:val="24"/>
        </w:rPr>
        <w:t>[11]</w:t>
      </w:r>
      <w:r w:rsidR="007C3A10" w:rsidRPr="00FC25BB">
        <w:rPr>
          <w:rFonts w:asciiTheme="majorBidi" w:hAnsiTheme="majorBidi" w:cstheme="majorBidi"/>
          <w:sz w:val="24"/>
          <w:szCs w:val="24"/>
        </w:rPr>
        <w:t xml:space="preserve">.The explanation of this result that decrease in pulsatile secretion of LH   leads to elevating  the serum estradiol and total estrogens </w:t>
      </w:r>
      <w:r w:rsidR="00924BD5" w:rsidRPr="00FC25BB">
        <w:rPr>
          <w:rFonts w:asciiTheme="majorBidi" w:hAnsiTheme="majorBidi" w:cstheme="majorBidi"/>
          <w:sz w:val="24"/>
          <w:szCs w:val="24"/>
        </w:rPr>
        <w:t>level [24]</w:t>
      </w:r>
      <w:r w:rsidR="007C3A10" w:rsidRPr="00FC25BB">
        <w:rPr>
          <w:rFonts w:asciiTheme="majorBidi" w:hAnsiTheme="majorBidi" w:cstheme="majorBidi"/>
          <w:sz w:val="24"/>
          <w:szCs w:val="24"/>
        </w:rPr>
        <w:t>. While in females, the result shows highly significant decrease in estradiol hormone level  this result agre</w:t>
      </w:r>
      <w:r w:rsidR="00924BD5" w:rsidRPr="00FC25BB">
        <w:rPr>
          <w:rFonts w:asciiTheme="majorBidi" w:hAnsiTheme="majorBidi" w:cstheme="majorBidi"/>
          <w:sz w:val="24"/>
          <w:szCs w:val="24"/>
        </w:rPr>
        <w:t>es with [1]</w:t>
      </w:r>
      <w:r w:rsidR="007C3A10" w:rsidRPr="00FC25BB">
        <w:rPr>
          <w:rFonts w:asciiTheme="majorBidi" w:hAnsiTheme="majorBidi" w:cstheme="majorBidi"/>
          <w:sz w:val="24"/>
          <w:szCs w:val="24"/>
        </w:rPr>
        <w:t xml:space="preserve"> . The explanation of this result that </w:t>
      </w:r>
      <w:proofErr w:type="spellStart"/>
      <w:r w:rsidR="007C3A10" w:rsidRPr="00FC25BB">
        <w:rPr>
          <w:rFonts w:asciiTheme="majorBidi" w:hAnsiTheme="majorBidi" w:cstheme="majorBidi"/>
          <w:sz w:val="24"/>
          <w:szCs w:val="24"/>
        </w:rPr>
        <w:t>hyperprolactinenia</w:t>
      </w:r>
      <w:proofErr w:type="spellEnd"/>
      <w:r w:rsidR="007C3A10" w:rsidRPr="00FC25BB">
        <w:rPr>
          <w:rFonts w:asciiTheme="majorBidi" w:hAnsiTheme="majorBidi" w:cstheme="majorBidi"/>
          <w:sz w:val="24"/>
          <w:szCs w:val="24"/>
        </w:rPr>
        <w:t xml:space="preserve"> contributes to </w:t>
      </w:r>
      <w:proofErr w:type="spellStart"/>
      <w:r w:rsidR="007C3A10" w:rsidRPr="00FC25BB">
        <w:rPr>
          <w:rFonts w:asciiTheme="majorBidi" w:hAnsiTheme="majorBidi" w:cstheme="majorBidi"/>
          <w:sz w:val="24"/>
          <w:szCs w:val="24"/>
        </w:rPr>
        <w:t>overian</w:t>
      </w:r>
      <w:proofErr w:type="spellEnd"/>
      <w:r w:rsidR="007C3A10" w:rsidRPr="00FC25BB">
        <w:rPr>
          <w:rFonts w:asciiTheme="majorBidi" w:hAnsiTheme="majorBidi" w:cstheme="majorBidi"/>
          <w:sz w:val="24"/>
          <w:szCs w:val="24"/>
        </w:rPr>
        <w:t xml:space="preserve"> dysfunction in wo</w:t>
      </w:r>
      <w:r w:rsidR="00EC2C3B" w:rsidRPr="00FC25BB">
        <w:rPr>
          <w:rFonts w:asciiTheme="majorBidi" w:hAnsiTheme="majorBidi" w:cstheme="majorBidi"/>
          <w:sz w:val="24"/>
          <w:szCs w:val="24"/>
        </w:rPr>
        <w:t xml:space="preserve">men with </w:t>
      </w:r>
      <w:proofErr w:type="spellStart"/>
      <w:r w:rsidR="00EC2C3B" w:rsidRPr="00FC25BB">
        <w:rPr>
          <w:rFonts w:asciiTheme="majorBidi" w:hAnsiTheme="majorBidi" w:cstheme="majorBidi"/>
          <w:sz w:val="24"/>
          <w:szCs w:val="24"/>
        </w:rPr>
        <w:t>continous</w:t>
      </w:r>
      <w:proofErr w:type="spellEnd"/>
      <w:r w:rsidR="00EC2C3B" w:rsidRPr="00FC25BB">
        <w:rPr>
          <w:rFonts w:asciiTheme="majorBidi" w:hAnsiTheme="majorBidi" w:cstheme="majorBidi"/>
          <w:sz w:val="24"/>
          <w:szCs w:val="24"/>
        </w:rPr>
        <w:t xml:space="preserve"> HD</w:t>
      </w:r>
      <w:r w:rsidR="007C3A10" w:rsidRPr="00FC25BB">
        <w:rPr>
          <w:rFonts w:asciiTheme="majorBidi" w:hAnsiTheme="majorBidi" w:cstheme="majorBidi"/>
          <w:sz w:val="24"/>
          <w:szCs w:val="24"/>
        </w:rPr>
        <w:t>. The obtained  results show  high significant decrease in testosterone hormone level in CRF  male patients and significant decrease in CRF female patients when compar</w:t>
      </w:r>
      <w:r w:rsidR="00EC2C3B" w:rsidRPr="00FC25BB">
        <w:rPr>
          <w:rFonts w:asciiTheme="majorBidi" w:hAnsiTheme="majorBidi" w:cstheme="majorBidi"/>
          <w:sz w:val="24"/>
          <w:szCs w:val="24"/>
        </w:rPr>
        <w:t>ed with control group</w:t>
      </w:r>
      <w:r w:rsidR="007C3A10" w:rsidRPr="00FC25BB">
        <w:rPr>
          <w:rFonts w:asciiTheme="majorBidi" w:hAnsiTheme="majorBidi" w:cstheme="majorBidi"/>
          <w:sz w:val="24"/>
          <w:szCs w:val="24"/>
        </w:rPr>
        <w:t xml:space="preserve">. This result agree with other studies </w:t>
      </w:r>
      <w:r w:rsidR="00924BD5" w:rsidRPr="00FC25BB">
        <w:rPr>
          <w:rFonts w:asciiTheme="majorBidi" w:hAnsiTheme="majorBidi" w:cstheme="majorBidi"/>
          <w:sz w:val="24"/>
          <w:szCs w:val="24"/>
        </w:rPr>
        <w:t>[13,29]</w:t>
      </w:r>
      <w:r w:rsidR="007C3A10" w:rsidRPr="00FC25BB">
        <w:rPr>
          <w:rFonts w:asciiTheme="majorBidi" w:hAnsiTheme="majorBidi" w:cstheme="majorBidi"/>
          <w:sz w:val="24"/>
          <w:szCs w:val="24"/>
        </w:rPr>
        <w:t>.The explanation of this result may be associated with significant  decrease in pulsatile secretion of LH.</w:t>
      </w:r>
      <w:r w:rsidR="006D2ED4">
        <w:rPr>
          <w:rFonts w:asciiTheme="majorBidi" w:hAnsiTheme="majorBidi" w:cstheme="majorBidi"/>
          <w:sz w:val="24"/>
          <w:szCs w:val="24"/>
        </w:rPr>
        <w:t xml:space="preserve"> </w:t>
      </w:r>
      <w:r w:rsidR="007C3A10" w:rsidRPr="00FC25BB">
        <w:rPr>
          <w:rFonts w:asciiTheme="majorBidi" w:hAnsiTheme="majorBidi" w:cstheme="majorBidi"/>
          <w:sz w:val="24"/>
          <w:szCs w:val="24"/>
        </w:rPr>
        <w:t>This leads to low levels of testosterone in uremic pat</w:t>
      </w:r>
      <w:r w:rsidR="006D2ED4">
        <w:rPr>
          <w:rFonts w:asciiTheme="majorBidi" w:hAnsiTheme="majorBidi" w:cstheme="majorBidi"/>
          <w:sz w:val="24"/>
          <w:szCs w:val="24"/>
        </w:rPr>
        <w:t>ients</w:t>
      </w:r>
      <w:r w:rsidR="007C3A10" w:rsidRPr="00FC25BB">
        <w:rPr>
          <w:rFonts w:asciiTheme="majorBidi" w:hAnsiTheme="majorBidi" w:cstheme="majorBidi"/>
          <w:sz w:val="24"/>
          <w:szCs w:val="24"/>
        </w:rPr>
        <w:t>.</w:t>
      </w:r>
      <w:r w:rsidR="006D2ED4">
        <w:rPr>
          <w:rFonts w:asciiTheme="majorBidi" w:hAnsiTheme="majorBidi" w:cstheme="majorBidi"/>
          <w:sz w:val="24"/>
          <w:szCs w:val="24"/>
        </w:rPr>
        <w:t xml:space="preserve"> </w:t>
      </w:r>
      <w:r w:rsidR="007C3A10" w:rsidRPr="00FC25BB">
        <w:rPr>
          <w:rFonts w:asciiTheme="majorBidi" w:hAnsiTheme="majorBidi" w:cstheme="majorBidi"/>
          <w:sz w:val="24"/>
          <w:szCs w:val="24"/>
        </w:rPr>
        <w:t xml:space="preserve">Another explanation is that low testosterone is due to decreased production, increased metabolic and </w:t>
      </w:r>
      <w:proofErr w:type="spellStart"/>
      <w:r w:rsidR="007C3A10" w:rsidRPr="00FC25BB">
        <w:rPr>
          <w:rFonts w:asciiTheme="majorBidi" w:hAnsiTheme="majorBidi" w:cstheme="majorBidi"/>
          <w:sz w:val="24"/>
          <w:szCs w:val="24"/>
        </w:rPr>
        <w:t>dialytic</w:t>
      </w:r>
      <w:proofErr w:type="spellEnd"/>
      <w:r w:rsidR="007C3A10" w:rsidRPr="00FC25BB">
        <w:rPr>
          <w:rFonts w:asciiTheme="majorBidi" w:hAnsiTheme="majorBidi" w:cstheme="majorBidi"/>
          <w:sz w:val="24"/>
          <w:szCs w:val="24"/>
        </w:rPr>
        <w:t xml:space="preserve"> clearance, alteration in testosterone binding capacity</w:t>
      </w:r>
      <w:r w:rsidR="00924BD5" w:rsidRPr="00FC25BB">
        <w:rPr>
          <w:rFonts w:asciiTheme="majorBidi" w:hAnsiTheme="majorBidi" w:cstheme="majorBidi"/>
          <w:sz w:val="24"/>
          <w:szCs w:val="24"/>
        </w:rPr>
        <w:t>[21]</w:t>
      </w:r>
      <w:r w:rsidR="007C3A10" w:rsidRPr="00FC25BB">
        <w:rPr>
          <w:rFonts w:asciiTheme="majorBidi" w:hAnsiTheme="majorBidi" w:cstheme="majorBidi"/>
          <w:sz w:val="24"/>
          <w:szCs w:val="24"/>
        </w:rPr>
        <w:t>.The study shows a statistically high significant decrease</w:t>
      </w:r>
      <w:r w:rsidR="007C3A10" w:rsidRPr="00FC25BB">
        <w:rPr>
          <w:rFonts w:asciiTheme="majorBidi" w:hAnsiTheme="majorBidi" w:cstheme="majorBidi"/>
          <w:sz w:val="24"/>
          <w:szCs w:val="24"/>
          <w:lang w:bidi="ar-IQ"/>
        </w:rPr>
        <w:t xml:space="preserve"> in  T3 hormone .</w:t>
      </w:r>
      <w:r w:rsidR="007C3A10" w:rsidRPr="00FC25BB">
        <w:rPr>
          <w:rFonts w:asciiTheme="majorBidi" w:hAnsiTheme="majorBidi" w:cstheme="majorBidi"/>
          <w:sz w:val="24"/>
          <w:szCs w:val="24"/>
        </w:rPr>
        <w:t xml:space="preserve"> This is consistent  with other  studies</w:t>
      </w:r>
      <w:r w:rsidR="007C3A10" w:rsidRPr="00FC25BB">
        <w:rPr>
          <w:rFonts w:asciiTheme="majorBidi" w:hAnsiTheme="majorBidi" w:cstheme="majorBidi"/>
          <w:sz w:val="24"/>
          <w:szCs w:val="24"/>
          <w:lang w:bidi="ar-IQ"/>
        </w:rPr>
        <w:t xml:space="preserve"> done by </w:t>
      </w:r>
      <w:r w:rsidR="00924BD5" w:rsidRPr="00FC25BB">
        <w:rPr>
          <w:rFonts w:asciiTheme="majorBidi" w:hAnsiTheme="majorBidi" w:cstheme="majorBidi"/>
          <w:sz w:val="24"/>
          <w:szCs w:val="24"/>
        </w:rPr>
        <w:t>[4,14]</w:t>
      </w:r>
      <w:r w:rsidR="007C3A10" w:rsidRPr="00FC25BB">
        <w:rPr>
          <w:rFonts w:asciiTheme="majorBidi" w:hAnsiTheme="majorBidi" w:cstheme="majorBidi"/>
          <w:sz w:val="24"/>
          <w:szCs w:val="24"/>
        </w:rPr>
        <w:t xml:space="preserve">. The explanation of this result to reduction in T3 concentrations has been linked to a decrease  in the peripheral conversion of T4 to T3 caused by an inhibition of 5’deiodinase levels chronic metabolic acidosis associated with the CKD may contribute in this effect. Another explanation that low T3 level could be  due to clearance of free thyroid hormones through the dialysis membrane resulting in hypothyroidism </w:t>
      </w:r>
      <w:r w:rsidR="00924BD5" w:rsidRPr="00FC25BB">
        <w:rPr>
          <w:rFonts w:asciiTheme="majorBidi" w:hAnsiTheme="majorBidi" w:cstheme="majorBidi"/>
          <w:sz w:val="24"/>
          <w:szCs w:val="24"/>
        </w:rPr>
        <w:t>[31]</w:t>
      </w:r>
      <w:r w:rsidR="007C3A10" w:rsidRPr="00FC25BB">
        <w:rPr>
          <w:rFonts w:asciiTheme="majorBidi" w:eastAsia="Times New Roman" w:hAnsiTheme="majorBidi" w:cstheme="majorBidi"/>
          <w:sz w:val="24"/>
          <w:szCs w:val="24"/>
        </w:rPr>
        <w:t>.</w:t>
      </w:r>
      <w:r w:rsidR="00FC25BB" w:rsidRPr="00FC25BB">
        <w:rPr>
          <w:rFonts w:asciiTheme="majorBidi" w:hAnsiTheme="majorBidi" w:cstheme="majorBidi"/>
          <w:sz w:val="24"/>
          <w:szCs w:val="24"/>
        </w:rPr>
        <w:t xml:space="preserve"> </w:t>
      </w:r>
      <w:r w:rsidR="007C3A10" w:rsidRPr="00FC25BB">
        <w:rPr>
          <w:rFonts w:asciiTheme="majorBidi" w:hAnsiTheme="majorBidi" w:cstheme="majorBidi"/>
          <w:sz w:val="24"/>
          <w:szCs w:val="24"/>
        </w:rPr>
        <w:t xml:space="preserve">In relation to thyroxin hormone the result of this </w:t>
      </w:r>
      <w:r w:rsidR="007C3A10" w:rsidRPr="00FC25BB">
        <w:rPr>
          <w:rFonts w:asciiTheme="majorBidi" w:hAnsiTheme="majorBidi" w:cstheme="majorBidi"/>
          <w:sz w:val="24"/>
          <w:szCs w:val="24"/>
        </w:rPr>
        <w:lastRenderedPageBreak/>
        <w:t>study  revealed that there is no significant increase in thyroxin hormone level in CRF patients when compar</w:t>
      </w:r>
      <w:r w:rsidR="00EC2C3B" w:rsidRPr="00FC25BB">
        <w:rPr>
          <w:rFonts w:asciiTheme="majorBidi" w:hAnsiTheme="majorBidi" w:cstheme="majorBidi"/>
          <w:sz w:val="24"/>
          <w:szCs w:val="24"/>
        </w:rPr>
        <w:t xml:space="preserve">ed with control group </w:t>
      </w:r>
      <w:r w:rsidR="007C3A10" w:rsidRPr="00FC25BB">
        <w:rPr>
          <w:rFonts w:asciiTheme="majorBidi" w:hAnsiTheme="majorBidi" w:cstheme="majorBidi"/>
          <w:sz w:val="24"/>
          <w:szCs w:val="24"/>
        </w:rPr>
        <w:t xml:space="preserve"> .This result agrees with studies obtained by</w:t>
      </w:r>
      <w:r w:rsidR="00924BD5" w:rsidRPr="00FC25BB">
        <w:rPr>
          <w:rFonts w:asciiTheme="majorBidi" w:hAnsiTheme="majorBidi" w:cstheme="majorBidi"/>
          <w:sz w:val="24"/>
          <w:szCs w:val="24"/>
        </w:rPr>
        <w:t>[22,30]</w:t>
      </w:r>
      <w:r w:rsidR="007C3A10" w:rsidRPr="00FC25BB">
        <w:rPr>
          <w:rFonts w:asciiTheme="majorBidi" w:hAnsiTheme="majorBidi" w:cstheme="majorBidi"/>
          <w:sz w:val="24"/>
          <w:szCs w:val="24"/>
        </w:rPr>
        <w:t xml:space="preserve">.The explanation of this result that the  ESRD may depend on the fact that the depression of T3 </w:t>
      </w:r>
      <w:r w:rsidR="00FC25BB" w:rsidRPr="00FC25BB">
        <w:rPr>
          <w:rFonts w:asciiTheme="majorBidi" w:hAnsiTheme="majorBidi" w:cstheme="majorBidi"/>
          <w:sz w:val="24"/>
          <w:szCs w:val="24"/>
        </w:rPr>
        <w:t>is much greater than that of T4</w:t>
      </w:r>
      <w:r w:rsidR="007C3A10" w:rsidRPr="00FC25BB">
        <w:rPr>
          <w:rFonts w:asciiTheme="majorBidi" w:hAnsiTheme="majorBidi" w:cstheme="majorBidi"/>
          <w:sz w:val="24"/>
          <w:szCs w:val="24"/>
        </w:rPr>
        <w:t xml:space="preserve">, T3 being less tightly bound to thyroid-binding globulin than T4 </w:t>
      </w:r>
      <w:r w:rsidR="00924BD5" w:rsidRPr="00FC25BB">
        <w:rPr>
          <w:rFonts w:asciiTheme="majorBidi" w:hAnsiTheme="majorBidi" w:cstheme="majorBidi"/>
          <w:sz w:val="24"/>
          <w:szCs w:val="24"/>
        </w:rPr>
        <w:t>[9]</w:t>
      </w:r>
      <w:r w:rsidR="00B12E42" w:rsidRPr="00FC25BB">
        <w:rPr>
          <w:rFonts w:asciiTheme="majorBidi" w:hAnsiTheme="majorBidi" w:cstheme="majorBidi"/>
          <w:sz w:val="24"/>
          <w:szCs w:val="24"/>
        </w:rPr>
        <w:t>.</w:t>
      </w:r>
      <w:r w:rsidR="007C3A10" w:rsidRPr="00FC25BB">
        <w:rPr>
          <w:rFonts w:asciiTheme="majorBidi" w:hAnsiTheme="majorBidi" w:cstheme="majorBidi"/>
          <w:sz w:val="24"/>
          <w:szCs w:val="24"/>
        </w:rPr>
        <w:t xml:space="preserve"> The result of this study shows that there is a significant increase in TSH level in CRF patients w</w:t>
      </w:r>
      <w:r w:rsidR="003D4DA5">
        <w:rPr>
          <w:rFonts w:asciiTheme="majorBidi" w:hAnsiTheme="majorBidi" w:cstheme="majorBidi"/>
          <w:sz w:val="24"/>
          <w:szCs w:val="24"/>
        </w:rPr>
        <w:t>hen compared with control group</w:t>
      </w:r>
      <w:r w:rsidR="007C3A10" w:rsidRPr="00FC25BB">
        <w:rPr>
          <w:rFonts w:asciiTheme="majorBidi" w:hAnsiTheme="majorBidi" w:cstheme="majorBidi"/>
          <w:sz w:val="24"/>
          <w:szCs w:val="24"/>
        </w:rPr>
        <w:t>. This result agrees wi</w:t>
      </w:r>
      <w:r w:rsidR="00EC2C3B" w:rsidRPr="00FC25BB">
        <w:rPr>
          <w:rFonts w:asciiTheme="majorBidi" w:hAnsiTheme="majorBidi" w:cstheme="majorBidi"/>
          <w:sz w:val="24"/>
          <w:szCs w:val="24"/>
        </w:rPr>
        <w:t>th results  got by</w:t>
      </w:r>
      <w:r w:rsidR="00924BD5" w:rsidRPr="00FC25BB">
        <w:rPr>
          <w:rFonts w:asciiTheme="majorBidi" w:hAnsiTheme="majorBidi" w:cstheme="majorBidi"/>
          <w:sz w:val="24"/>
          <w:szCs w:val="24"/>
        </w:rPr>
        <w:t>[25]</w:t>
      </w:r>
      <w:r w:rsidR="007C3A10" w:rsidRPr="00FC25BB">
        <w:rPr>
          <w:rFonts w:asciiTheme="majorBidi" w:hAnsiTheme="majorBidi" w:cstheme="majorBidi"/>
          <w:sz w:val="24"/>
          <w:szCs w:val="24"/>
        </w:rPr>
        <w:t xml:space="preserve"> .The explanation of this result is that  higher TSH levels in ESRD patients  could be due to the effect of low circulating thyroid hormone levels on the pituitary</w:t>
      </w:r>
      <w:r w:rsidR="00924BD5" w:rsidRPr="00FC25BB">
        <w:rPr>
          <w:rFonts w:asciiTheme="majorBidi" w:hAnsiTheme="majorBidi" w:cstheme="majorBidi"/>
          <w:sz w:val="24"/>
          <w:szCs w:val="24"/>
        </w:rPr>
        <w:t xml:space="preserve"> by  [14]</w:t>
      </w:r>
      <w:r w:rsidR="00EC2C3B" w:rsidRPr="00FC25BB">
        <w:rPr>
          <w:rFonts w:asciiTheme="majorBidi" w:hAnsiTheme="majorBidi" w:cstheme="majorBidi"/>
          <w:sz w:val="24"/>
          <w:szCs w:val="24"/>
        </w:rPr>
        <w:t xml:space="preserve">.  </w:t>
      </w:r>
    </w:p>
    <w:p w:rsidR="007C3A10" w:rsidRPr="00FC25BB" w:rsidRDefault="00EC2C3B" w:rsidP="00280784">
      <w:pPr>
        <w:autoSpaceDE w:val="0"/>
        <w:autoSpaceDN w:val="0"/>
        <w:bidi w:val="0"/>
        <w:adjustRightInd w:val="0"/>
        <w:spacing w:after="0" w:line="240" w:lineRule="auto"/>
        <w:jc w:val="both"/>
        <w:rPr>
          <w:rFonts w:asciiTheme="majorBidi" w:hAnsiTheme="majorBidi" w:cstheme="majorBidi"/>
          <w:sz w:val="24"/>
          <w:szCs w:val="24"/>
          <w:lang w:bidi="ar-IQ"/>
        </w:rPr>
      </w:pPr>
      <w:r w:rsidRPr="00FC25BB">
        <w:rPr>
          <w:rFonts w:asciiTheme="majorBidi" w:hAnsiTheme="majorBidi" w:cstheme="majorBidi"/>
          <w:sz w:val="24"/>
          <w:szCs w:val="24"/>
        </w:rPr>
        <w:t xml:space="preserve">                    </w:t>
      </w:r>
      <w:r w:rsidR="007C3A10" w:rsidRPr="00FC25BB">
        <w:rPr>
          <w:rFonts w:asciiTheme="majorBidi" w:hAnsiTheme="majorBidi" w:cstheme="majorBidi"/>
          <w:sz w:val="24"/>
          <w:szCs w:val="24"/>
        </w:rPr>
        <w:t xml:space="preserve"> </w:t>
      </w:r>
    </w:p>
    <w:p w:rsidR="00DA6ADC" w:rsidRPr="00FC25BB" w:rsidRDefault="00FC25BB" w:rsidP="00280784">
      <w:pPr>
        <w:autoSpaceDE w:val="0"/>
        <w:autoSpaceDN w:val="0"/>
        <w:bidi w:val="0"/>
        <w:adjustRightInd w:val="0"/>
        <w:spacing w:after="0" w:line="240" w:lineRule="auto"/>
        <w:jc w:val="both"/>
        <w:rPr>
          <w:rFonts w:asciiTheme="majorBidi" w:hAnsiTheme="majorBidi" w:cstheme="majorBidi"/>
          <w:b/>
          <w:bCs/>
          <w:sz w:val="24"/>
          <w:szCs w:val="24"/>
          <w:u w:val="single"/>
          <w:rtl/>
          <w:lang w:bidi="ar-IQ"/>
        </w:rPr>
      </w:pPr>
      <w:r w:rsidRPr="00FC25BB">
        <w:rPr>
          <w:rFonts w:asciiTheme="majorBidi" w:hAnsiTheme="majorBidi" w:cstheme="majorBidi"/>
          <w:b/>
          <w:bCs/>
          <w:sz w:val="24"/>
          <w:szCs w:val="24"/>
          <w:u w:val="single"/>
        </w:rPr>
        <w:t>R</w:t>
      </w:r>
      <w:r w:rsidR="00EC2C3B" w:rsidRPr="00FC25BB">
        <w:rPr>
          <w:rFonts w:asciiTheme="majorBidi" w:hAnsiTheme="majorBidi" w:cstheme="majorBidi"/>
          <w:b/>
          <w:bCs/>
          <w:sz w:val="24"/>
          <w:szCs w:val="24"/>
          <w:u w:val="single"/>
        </w:rPr>
        <w:t>eferences</w:t>
      </w:r>
    </w:p>
    <w:p w:rsidR="00A07FE1" w:rsidRPr="00FC25BB" w:rsidRDefault="009038DA" w:rsidP="003D4DA5">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1</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A07FE1" w:rsidRPr="00FC25BB">
        <w:rPr>
          <w:rFonts w:asciiTheme="majorBidi" w:hAnsiTheme="majorBidi" w:cstheme="majorBidi"/>
          <w:sz w:val="24"/>
          <w:szCs w:val="24"/>
        </w:rPr>
        <w:t>Ayub</w:t>
      </w:r>
      <w:proofErr w:type="spellEnd"/>
      <w:r w:rsidR="00A07FE1" w:rsidRPr="00FC25BB">
        <w:rPr>
          <w:rFonts w:asciiTheme="majorBidi" w:hAnsiTheme="majorBidi" w:cstheme="majorBidi"/>
          <w:sz w:val="24"/>
          <w:szCs w:val="24"/>
        </w:rPr>
        <w:t xml:space="preserve"> ,</w:t>
      </w:r>
      <w:r w:rsidR="003D4DA5">
        <w:rPr>
          <w:rFonts w:asciiTheme="majorBidi" w:hAnsiTheme="majorBidi" w:cstheme="majorBidi"/>
          <w:sz w:val="24"/>
          <w:szCs w:val="24"/>
        </w:rPr>
        <w:t>W</w:t>
      </w:r>
      <w:r w:rsidR="00A07FE1" w:rsidRPr="00FC25BB">
        <w:rPr>
          <w:rFonts w:asciiTheme="majorBidi" w:hAnsiTheme="majorBidi" w:cstheme="majorBidi"/>
          <w:sz w:val="24"/>
          <w:szCs w:val="24"/>
        </w:rPr>
        <w:t>&amp; Fletcher ,</w:t>
      </w:r>
      <w:r w:rsidR="003D4DA5">
        <w:rPr>
          <w:rFonts w:asciiTheme="majorBidi" w:hAnsiTheme="majorBidi" w:cstheme="majorBidi"/>
          <w:sz w:val="24"/>
          <w:szCs w:val="24"/>
        </w:rPr>
        <w:t xml:space="preserve"> S </w:t>
      </w:r>
      <w:r w:rsidR="00A07FE1" w:rsidRPr="00FC25BB">
        <w:rPr>
          <w:rFonts w:asciiTheme="majorBidi" w:hAnsiTheme="majorBidi" w:cstheme="majorBidi"/>
          <w:sz w:val="24"/>
          <w:szCs w:val="24"/>
        </w:rPr>
        <w:t>(2000).</w:t>
      </w:r>
      <w:r w:rsidR="003D4DA5">
        <w:rPr>
          <w:rFonts w:asciiTheme="majorBidi" w:hAnsiTheme="majorBidi" w:cstheme="majorBidi"/>
          <w:sz w:val="24"/>
          <w:szCs w:val="24"/>
        </w:rPr>
        <w:t xml:space="preserve"> </w:t>
      </w:r>
      <w:r w:rsidR="00A07FE1" w:rsidRPr="00FC25BB">
        <w:rPr>
          <w:rFonts w:asciiTheme="majorBidi" w:hAnsiTheme="majorBidi" w:cstheme="majorBidi"/>
          <w:sz w:val="24"/>
          <w:szCs w:val="24"/>
        </w:rPr>
        <w:t>End</w:t>
      </w:r>
      <w:r w:rsidR="00A07FE1" w:rsidRPr="00FC25BB">
        <w:rPr>
          <w:rFonts w:ascii="Cambria Math" w:hAnsi="Cambria Math" w:cs="Cambria Math"/>
          <w:sz w:val="24"/>
          <w:szCs w:val="24"/>
        </w:rPr>
        <w:t>‐</w:t>
      </w:r>
      <w:r w:rsidR="00A07FE1" w:rsidRPr="00FC25BB">
        <w:rPr>
          <w:rFonts w:asciiTheme="majorBidi" w:hAnsiTheme="majorBidi" w:cstheme="majorBidi"/>
          <w:sz w:val="24"/>
          <w:szCs w:val="24"/>
        </w:rPr>
        <w:t>stage renal disease and erectile dysfunction. Is there any hope?</w:t>
      </w:r>
      <w:r w:rsidR="00A07FE1" w:rsidRPr="00FC25BB">
        <w:rPr>
          <w:rFonts w:asciiTheme="majorBidi" w:hAnsiTheme="majorBidi" w:cstheme="majorBidi"/>
          <w:sz w:val="24"/>
          <w:szCs w:val="24"/>
          <w:rtl/>
        </w:rPr>
        <w:t xml:space="preserve"> </w:t>
      </w:r>
      <w:proofErr w:type="spellStart"/>
      <w:r w:rsidR="00A07FE1" w:rsidRPr="00FC25BB">
        <w:rPr>
          <w:rStyle w:val="HTML"/>
          <w:rFonts w:asciiTheme="majorBidi" w:hAnsiTheme="majorBidi" w:cstheme="majorBidi"/>
          <w:i w:val="0"/>
          <w:iCs w:val="0"/>
          <w:sz w:val="24"/>
          <w:szCs w:val="24"/>
        </w:rPr>
        <w:t>Nephrol</w:t>
      </w:r>
      <w:proofErr w:type="spellEnd"/>
      <w:r w:rsidR="00A07FE1" w:rsidRPr="00FC25BB">
        <w:rPr>
          <w:rStyle w:val="HTML"/>
          <w:rFonts w:asciiTheme="majorBidi" w:hAnsiTheme="majorBidi" w:cstheme="majorBidi"/>
          <w:i w:val="0"/>
          <w:iCs w:val="0"/>
          <w:sz w:val="24"/>
          <w:szCs w:val="24"/>
        </w:rPr>
        <w:t>. Dial. Transplant;</w:t>
      </w:r>
      <w:r w:rsidR="00A07FE1" w:rsidRPr="00FC25BB">
        <w:rPr>
          <w:rStyle w:val="slug-vol"/>
          <w:rFonts w:asciiTheme="majorBidi" w:hAnsiTheme="majorBidi" w:cstheme="majorBidi"/>
          <w:sz w:val="24"/>
          <w:szCs w:val="24"/>
        </w:rPr>
        <w:t xml:space="preserve">15 </w:t>
      </w:r>
      <w:r w:rsidR="00A07FE1" w:rsidRPr="00FC25BB">
        <w:rPr>
          <w:rStyle w:val="slug-issue"/>
          <w:rFonts w:asciiTheme="majorBidi" w:hAnsiTheme="majorBidi" w:cstheme="majorBidi"/>
          <w:sz w:val="24"/>
          <w:szCs w:val="24"/>
        </w:rPr>
        <w:t xml:space="preserve">(10): </w:t>
      </w:r>
      <w:r w:rsidR="00A07FE1" w:rsidRPr="00FC25BB">
        <w:rPr>
          <w:rStyle w:val="slug-pages"/>
          <w:rFonts w:asciiTheme="majorBidi" w:hAnsiTheme="majorBidi" w:cstheme="majorBidi"/>
          <w:sz w:val="24"/>
          <w:szCs w:val="24"/>
        </w:rPr>
        <w:t>1525-1528.</w:t>
      </w:r>
    </w:p>
    <w:p w:rsidR="00A07FE1" w:rsidRPr="00FC25BB" w:rsidRDefault="009038DA"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2</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A07FE1" w:rsidRPr="00FC25BB">
        <w:rPr>
          <w:rFonts w:asciiTheme="majorBidi" w:hAnsiTheme="majorBidi" w:cstheme="majorBidi"/>
          <w:sz w:val="24"/>
          <w:szCs w:val="24"/>
        </w:rPr>
        <w:t>Bailie</w:t>
      </w:r>
      <w:proofErr w:type="spellEnd"/>
      <w:r w:rsidR="00A07FE1" w:rsidRPr="00FC25BB">
        <w:rPr>
          <w:rFonts w:asciiTheme="majorBidi" w:hAnsiTheme="majorBidi" w:cstheme="majorBidi"/>
          <w:sz w:val="24"/>
          <w:szCs w:val="24"/>
        </w:rPr>
        <w:t>, G. R.; Elder, S. J. ;</w:t>
      </w:r>
      <w:r w:rsidR="00A07FE1" w:rsidRPr="00FC25BB">
        <w:rPr>
          <w:rStyle w:val="st"/>
          <w:rFonts w:asciiTheme="majorBidi" w:hAnsiTheme="majorBidi" w:cstheme="majorBidi"/>
          <w:sz w:val="24"/>
          <w:szCs w:val="24"/>
        </w:rPr>
        <w:t xml:space="preserve">Mason,. NA.; Asano ,Y.; Cruz ,J.M.&amp; </w:t>
      </w:r>
      <w:proofErr w:type="spellStart"/>
      <w:r w:rsidR="00A07FE1" w:rsidRPr="00FC25BB">
        <w:rPr>
          <w:rStyle w:val="st"/>
          <w:rFonts w:asciiTheme="majorBidi" w:hAnsiTheme="majorBidi" w:cstheme="majorBidi"/>
          <w:sz w:val="24"/>
          <w:szCs w:val="24"/>
        </w:rPr>
        <w:t>Fukuhara</w:t>
      </w:r>
      <w:proofErr w:type="spellEnd"/>
      <w:r w:rsidR="00A07FE1" w:rsidRPr="00FC25BB">
        <w:rPr>
          <w:rStyle w:val="st"/>
          <w:rFonts w:asciiTheme="majorBidi" w:hAnsiTheme="majorBidi" w:cstheme="majorBidi"/>
          <w:sz w:val="24"/>
          <w:szCs w:val="24"/>
        </w:rPr>
        <w:t>, S.</w:t>
      </w:r>
      <w:r w:rsidR="00A07FE1" w:rsidRPr="00FC25BB">
        <w:rPr>
          <w:rFonts w:asciiTheme="majorBidi" w:hAnsiTheme="majorBidi" w:cstheme="majorBidi"/>
          <w:sz w:val="24"/>
          <w:szCs w:val="24"/>
        </w:rPr>
        <w:t xml:space="preserve"> (2007). "Sexual dysfunction in dialysis patients treated with antihypertensive or </w:t>
      </w:r>
      <w:proofErr w:type="spellStart"/>
      <w:r w:rsidR="00A07FE1" w:rsidRPr="00FC25BB">
        <w:rPr>
          <w:rFonts w:asciiTheme="majorBidi" w:hAnsiTheme="majorBidi" w:cstheme="majorBidi"/>
          <w:sz w:val="24"/>
          <w:szCs w:val="24"/>
        </w:rPr>
        <w:t>antidepressive</w:t>
      </w:r>
      <w:proofErr w:type="spellEnd"/>
      <w:r w:rsidR="00A07FE1" w:rsidRPr="00FC25BB">
        <w:rPr>
          <w:rFonts w:asciiTheme="majorBidi" w:hAnsiTheme="majorBidi" w:cstheme="majorBidi"/>
          <w:sz w:val="24"/>
          <w:szCs w:val="24"/>
        </w:rPr>
        <w:t xml:space="preserve"> medications: results from the DOPPS." </w:t>
      </w:r>
      <w:proofErr w:type="spellStart"/>
      <w:r w:rsidR="00A07FE1" w:rsidRPr="00FC25BB">
        <w:rPr>
          <w:rFonts w:asciiTheme="majorBidi" w:hAnsiTheme="majorBidi" w:cstheme="majorBidi"/>
          <w:sz w:val="24"/>
          <w:szCs w:val="24"/>
        </w:rPr>
        <w:t>Nephrol</w:t>
      </w:r>
      <w:proofErr w:type="spellEnd"/>
      <w:r w:rsidR="00A07FE1" w:rsidRPr="00FC25BB">
        <w:rPr>
          <w:rFonts w:asciiTheme="majorBidi" w:hAnsiTheme="majorBidi" w:cstheme="majorBidi"/>
          <w:sz w:val="24"/>
          <w:szCs w:val="24"/>
        </w:rPr>
        <w:t xml:space="preserve"> Dial Transplant 22(4): 1163-70.</w:t>
      </w:r>
    </w:p>
    <w:p w:rsidR="00A07FE1" w:rsidRPr="00FC25BB" w:rsidRDefault="009038DA"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3</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hyperlink r:id="rId12" w:history="1">
        <w:proofErr w:type="spellStart"/>
        <w:r w:rsidR="00A07FE1" w:rsidRPr="00FC25BB">
          <w:rPr>
            <w:rFonts w:asciiTheme="majorBidi" w:eastAsia="Times New Roman" w:hAnsiTheme="majorBidi" w:cstheme="majorBidi"/>
            <w:sz w:val="24"/>
            <w:szCs w:val="24"/>
          </w:rPr>
          <w:t>Basu</w:t>
        </w:r>
      </w:hyperlink>
      <w:r w:rsidR="00A07FE1" w:rsidRPr="00FC25BB">
        <w:rPr>
          <w:rFonts w:asciiTheme="majorBidi" w:hAnsiTheme="majorBidi" w:cstheme="majorBidi"/>
          <w:sz w:val="24"/>
          <w:szCs w:val="24"/>
        </w:rPr>
        <w:t>,G</w:t>
      </w:r>
      <w:proofErr w:type="spellEnd"/>
      <w:r w:rsidR="00A07FE1" w:rsidRPr="00FC25BB">
        <w:rPr>
          <w:rFonts w:asciiTheme="majorBidi" w:hAnsiTheme="majorBidi" w:cstheme="majorBidi"/>
          <w:sz w:val="24"/>
          <w:szCs w:val="24"/>
        </w:rPr>
        <w:t>.</w:t>
      </w:r>
      <w:r w:rsidR="00A07FE1" w:rsidRPr="00FC25BB">
        <w:rPr>
          <w:rFonts w:asciiTheme="majorBidi" w:eastAsia="Times New Roman" w:hAnsiTheme="majorBidi" w:cstheme="majorBidi"/>
          <w:sz w:val="24"/>
          <w:szCs w:val="24"/>
        </w:rPr>
        <w:t xml:space="preserve"> and </w:t>
      </w:r>
      <w:hyperlink r:id="rId13" w:history="1">
        <w:r w:rsidR="00A07FE1" w:rsidRPr="00FC25BB">
          <w:rPr>
            <w:rFonts w:asciiTheme="majorBidi" w:eastAsia="Times New Roman" w:hAnsiTheme="majorBidi" w:cstheme="majorBidi"/>
            <w:sz w:val="24"/>
            <w:szCs w:val="24"/>
          </w:rPr>
          <w:t xml:space="preserve"> </w:t>
        </w:r>
        <w:proofErr w:type="spellStart"/>
        <w:r w:rsidR="00A07FE1" w:rsidRPr="00FC25BB">
          <w:rPr>
            <w:rFonts w:asciiTheme="majorBidi" w:eastAsia="Times New Roman" w:hAnsiTheme="majorBidi" w:cstheme="majorBidi"/>
            <w:sz w:val="24"/>
            <w:szCs w:val="24"/>
          </w:rPr>
          <w:t>Mohapatra</w:t>
        </w:r>
      </w:hyperlink>
      <w:r w:rsidR="00A07FE1" w:rsidRPr="00FC25BB">
        <w:rPr>
          <w:rFonts w:asciiTheme="majorBidi" w:hAnsiTheme="majorBidi" w:cstheme="majorBidi"/>
          <w:sz w:val="24"/>
          <w:szCs w:val="24"/>
        </w:rPr>
        <w:t>,A</w:t>
      </w:r>
      <w:proofErr w:type="spellEnd"/>
      <w:r w:rsidR="00A07FE1" w:rsidRPr="00FC25BB">
        <w:rPr>
          <w:rFonts w:asciiTheme="majorBidi" w:hAnsiTheme="majorBidi" w:cstheme="majorBidi"/>
          <w:sz w:val="24"/>
          <w:szCs w:val="24"/>
        </w:rPr>
        <w:t>.(2012).</w:t>
      </w:r>
      <w:r w:rsidR="00A07FE1" w:rsidRPr="00FC25BB">
        <w:rPr>
          <w:rFonts w:asciiTheme="majorBidi" w:eastAsia="Times New Roman" w:hAnsiTheme="majorBidi" w:cstheme="majorBidi"/>
          <w:kern w:val="36"/>
          <w:sz w:val="24"/>
          <w:szCs w:val="24"/>
        </w:rPr>
        <w:t xml:space="preserve"> Interactions between thyroid disorders and kidney disease</w:t>
      </w:r>
      <w:r w:rsidR="00A07FE1" w:rsidRPr="00FC25BB">
        <w:rPr>
          <w:rFonts w:asciiTheme="majorBidi" w:eastAsia="Times New Roman" w:hAnsiTheme="majorBidi" w:cstheme="majorBidi"/>
          <w:sz w:val="24"/>
          <w:szCs w:val="24"/>
        </w:rPr>
        <w:t xml:space="preserve"> Indian J </w:t>
      </w:r>
      <w:proofErr w:type="spellStart"/>
      <w:r w:rsidR="00A07FE1" w:rsidRPr="00FC25BB">
        <w:rPr>
          <w:rFonts w:asciiTheme="majorBidi" w:eastAsia="Times New Roman" w:hAnsiTheme="majorBidi" w:cstheme="majorBidi"/>
          <w:sz w:val="24"/>
          <w:szCs w:val="24"/>
        </w:rPr>
        <w:t>Endocrinol</w:t>
      </w:r>
      <w:proofErr w:type="spellEnd"/>
      <w:r w:rsidR="00A07FE1" w:rsidRPr="00FC25BB">
        <w:rPr>
          <w:rFonts w:asciiTheme="majorBidi" w:eastAsia="Times New Roman" w:hAnsiTheme="majorBidi" w:cstheme="majorBidi"/>
          <w:sz w:val="24"/>
          <w:szCs w:val="24"/>
        </w:rPr>
        <w:t xml:space="preserve"> </w:t>
      </w:r>
      <w:proofErr w:type="spellStart"/>
      <w:r w:rsidR="00A07FE1" w:rsidRPr="00FC25BB">
        <w:rPr>
          <w:rFonts w:asciiTheme="majorBidi" w:eastAsia="Times New Roman" w:hAnsiTheme="majorBidi" w:cstheme="majorBidi"/>
          <w:sz w:val="24"/>
          <w:szCs w:val="24"/>
        </w:rPr>
        <w:t>Metab</w:t>
      </w:r>
      <w:proofErr w:type="spellEnd"/>
      <w:r w:rsidR="00A07FE1" w:rsidRPr="00FC25BB">
        <w:rPr>
          <w:rFonts w:asciiTheme="majorBidi" w:eastAsia="Times New Roman" w:hAnsiTheme="majorBidi" w:cstheme="majorBidi"/>
          <w:sz w:val="24"/>
          <w:szCs w:val="24"/>
        </w:rPr>
        <w:t>.; 16(2): 204–213.</w:t>
      </w:r>
      <w:r w:rsidR="00A07FE1" w:rsidRPr="00FC25BB">
        <w:rPr>
          <w:rFonts w:asciiTheme="majorBidi" w:hAnsiTheme="majorBidi" w:cstheme="majorBidi"/>
          <w:sz w:val="24"/>
          <w:szCs w:val="24"/>
        </w:rPr>
        <w:t xml:space="preserve"> </w:t>
      </w:r>
    </w:p>
    <w:p w:rsidR="00AA26A3" w:rsidRPr="00FC25BB" w:rsidRDefault="00AA26A3"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4</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A07FE1" w:rsidRPr="00FC25BB">
        <w:rPr>
          <w:rFonts w:asciiTheme="majorBidi" w:hAnsiTheme="majorBidi" w:cstheme="majorBidi"/>
          <w:sz w:val="24"/>
          <w:szCs w:val="24"/>
        </w:rPr>
        <w:t>Brough</w:t>
      </w:r>
      <w:proofErr w:type="spellEnd"/>
      <w:r w:rsidR="00A07FE1" w:rsidRPr="00FC25BB">
        <w:rPr>
          <w:rFonts w:asciiTheme="majorBidi" w:hAnsiTheme="majorBidi" w:cstheme="majorBidi"/>
          <w:sz w:val="24"/>
          <w:szCs w:val="24"/>
        </w:rPr>
        <w:t xml:space="preserve">, R .&amp; Jones, C. (2006) .Iatrogenic iodine as a cause of hypothyroidism in infants </w:t>
      </w:r>
      <w:proofErr w:type="spellStart"/>
      <w:r w:rsidR="00A07FE1" w:rsidRPr="00FC25BB">
        <w:rPr>
          <w:rFonts w:asciiTheme="majorBidi" w:hAnsiTheme="majorBidi" w:cstheme="majorBidi"/>
          <w:sz w:val="24"/>
          <w:szCs w:val="24"/>
        </w:rPr>
        <w:t>withend</w:t>
      </w:r>
      <w:proofErr w:type="spellEnd"/>
      <w:r w:rsidR="00A07FE1" w:rsidRPr="00FC25BB">
        <w:rPr>
          <w:rFonts w:asciiTheme="majorBidi" w:hAnsiTheme="majorBidi" w:cstheme="majorBidi"/>
          <w:sz w:val="24"/>
          <w:szCs w:val="24"/>
        </w:rPr>
        <w:t>-stage renal failure. Pediatric Nephrology ; 21 :400-402.</w:t>
      </w:r>
    </w:p>
    <w:p w:rsidR="00A07FE1" w:rsidRPr="00FC25BB" w:rsidRDefault="00AA26A3"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5</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A07FE1" w:rsidRPr="00FC25BB">
        <w:rPr>
          <w:rFonts w:asciiTheme="majorBidi" w:hAnsiTheme="majorBidi" w:cstheme="majorBidi"/>
          <w:sz w:val="24"/>
          <w:szCs w:val="24"/>
        </w:rPr>
        <w:t xml:space="preserve">Burrows, N.;LI, Y.&amp; </w:t>
      </w:r>
      <w:proofErr w:type="spellStart"/>
      <w:r w:rsidR="00A07FE1" w:rsidRPr="00FC25BB">
        <w:rPr>
          <w:rFonts w:asciiTheme="majorBidi" w:hAnsiTheme="majorBidi" w:cstheme="majorBidi"/>
          <w:sz w:val="24"/>
          <w:szCs w:val="24"/>
        </w:rPr>
        <w:t>Geiss</w:t>
      </w:r>
      <w:proofErr w:type="spellEnd"/>
      <w:r w:rsidR="00A07FE1"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A07FE1" w:rsidRPr="00FC25BB">
        <w:rPr>
          <w:rFonts w:asciiTheme="majorBidi" w:hAnsiTheme="majorBidi" w:cstheme="majorBidi"/>
          <w:sz w:val="24"/>
          <w:szCs w:val="24"/>
        </w:rPr>
        <w:t>L.S.(2010). Incidence of Treatment for End-Stage Renal Disease Among Individuals With Diabetes in the U.S. Continues to Decline. Diabetes Care; 33:73–77.</w:t>
      </w:r>
    </w:p>
    <w:p w:rsidR="00A07FE1" w:rsidRPr="00FC25BB" w:rsidRDefault="00AA26A3"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lastRenderedPageBreak/>
        <w:t>6</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A07FE1" w:rsidRPr="00FC25BB">
        <w:rPr>
          <w:rFonts w:asciiTheme="majorBidi" w:hAnsiTheme="majorBidi" w:cstheme="majorBidi"/>
          <w:sz w:val="24"/>
          <w:szCs w:val="24"/>
        </w:rPr>
        <w:t>Dötsch</w:t>
      </w:r>
      <w:proofErr w:type="spellEnd"/>
      <w:r w:rsidR="00A07FE1" w:rsidRPr="00FC25BB">
        <w:rPr>
          <w:rFonts w:asciiTheme="majorBidi" w:hAnsiTheme="majorBidi" w:cstheme="majorBidi"/>
          <w:sz w:val="24"/>
          <w:szCs w:val="24"/>
        </w:rPr>
        <w:t xml:space="preserve">, J.; </w:t>
      </w:r>
      <w:proofErr w:type="spellStart"/>
      <w:r w:rsidR="00A07FE1" w:rsidRPr="00FC25BB">
        <w:rPr>
          <w:rFonts w:asciiTheme="majorBidi" w:hAnsiTheme="majorBidi" w:cstheme="majorBidi"/>
          <w:sz w:val="24"/>
          <w:szCs w:val="24"/>
        </w:rPr>
        <w:t>Nüsken</w:t>
      </w:r>
      <w:proofErr w:type="spellEnd"/>
      <w:r w:rsidR="00A07FE1" w:rsidRPr="00FC25BB">
        <w:rPr>
          <w:rFonts w:asciiTheme="majorBidi" w:hAnsiTheme="majorBidi" w:cstheme="majorBidi"/>
          <w:sz w:val="24"/>
          <w:szCs w:val="24"/>
        </w:rPr>
        <w:t xml:space="preserve"> ,K.; Benz, K.; </w:t>
      </w:r>
      <w:proofErr w:type="spellStart"/>
      <w:r w:rsidR="00A07FE1" w:rsidRPr="00FC25BB">
        <w:rPr>
          <w:rFonts w:asciiTheme="majorBidi" w:hAnsiTheme="majorBidi" w:cstheme="majorBidi"/>
          <w:sz w:val="24"/>
          <w:szCs w:val="24"/>
        </w:rPr>
        <w:t>Dittrich</w:t>
      </w:r>
      <w:proofErr w:type="spellEnd"/>
      <w:r w:rsidR="00A07FE1" w:rsidRPr="00FC25BB">
        <w:rPr>
          <w:rFonts w:asciiTheme="majorBidi" w:hAnsiTheme="majorBidi" w:cstheme="majorBidi"/>
          <w:sz w:val="24"/>
          <w:szCs w:val="24"/>
        </w:rPr>
        <w:t xml:space="preserve">, K.; Plank, </w:t>
      </w:r>
      <w:proofErr w:type="spellStart"/>
      <w:r w:rsidR="00A07FE1" w:rsidRPr="00FC25BB">
        <w:rPr>
          <w:rFonts w:asciiTheme="majorBidi" w:hAnsiTheme="majorBidi" w:cstheme="majorBidi"/>
          <w:sz w:val="24"/>
          <w:szCs w:val="24"/>
        </w:rPr>
        <w:t>C.h</w:t>
      </w:r>
      <w:proofErr w:type="spellEnd"/>
      <w:r w:rsidR="00A07FE1" w:rsidRPr="00FC25BB">
        <w:rPr>
          <w:rFonts w:asciiTheme="majorBidi" w:hAnsiTheme="majorBidi" w:cstheme="majorBidi"/>
          <w:sz w:val="24"/>
          <w:szCs w:val="24"/>
        </w:rPr>
        <w:t xml:space="preserve">.; </w:t>
      </w:r>
      <w:proofErr w:type="spellStart"/>
      <w:r w:rsidR="00A07FE1" w:rsidRPr="00FC25BB">
        <w:rPr>
          <w:rFonts w:asciiTheme="majorBidi" w:hAnsiTheme="majorBidi" w:cstheme="majorBidi"/>
          <w:sz w:val="24"/>
          <w:szCs w:val="24"/>
        </w:rPr>
        <w:t>Sauerstein</w:t>
      </w:r>
      <w:proofErr w:type="spellEnd"/>
      <w:r w:rsidR="00A07FE1" w:rsidRPr="00FC25BB">
        <w:rPr>
          <w:rFonts w:asciiTheme="majorBidi" w:hAnsiTheme="majorBidi" w:cstheme="majorBidi"/>
          <w:sz w:val="24"/>
          <w:szCs w:val="24"/>
        </w:rPr>
        <w:t xml:space="preserve"> , K.&amp; </w:t>
      </w:r>
      <w:proofErr w:type="spellStart"/>
      <w:r w:rsidR="00A07FE1" w:rsidRPr="00FC25BB">
        <w:rPr>
          <w:rFonts w:asciiTheme="majorBidi" w:hAnsiTheme="majorBidi" w:cstheme="majorBidi"/>
          <w:sz w:val="24"/>
          <w:szCs w:val="24"/>
        </w:rPr>
        <w:t>Rascher</w:t>
      </w:r>
      <w:proofErr w:type="spellEnd"/>
      <w:r w:rsidR="00A07FE1" w:rsidRPr="00FC25BB">
        <w:rPr>
          <w:rFonts w:asciiTheme="majorBidi" w:hAnsiTheme="majorBidi" w:cstheme="majorBidi"/>
          <w:sz w:val="24"/>
          <w:szCs w:val="24"/>
        </w:rPr>
        <w:t>, W.(2004). Endocrine Dysregulation in Adolescents with Chronic Renal Failure Transplantations medizin;16:19.</w:t>
      </w:r>
    </w:p>
    <w:p w:rsidR="00A07FE1" w:rsidRPr="00FC25BB" w:rsidRDefault="00A07FE1"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color w:val="231F20"/>
          <w:sz w:val="24"/>
          <w:szCs w:val="24"/>
        </w:rPr>
        <w:t xml:space="preserve"> </w:t>
      </w:r>
      <w:r w:rsidR="00AA26A3" w:rsidRPr="00FC25BB">
        <w:rPr>
          <w:rFonts w:asciiTheme="majorBidi" w:hAnsiTheme="majorBidi" w:cstheme="majorBidi"/>
          <w:color w:val="231F20"/>
          <w:sz w:val="24"/>
          <w:szCs w:val="24"/>
        </w:rPr>
        <w:t>7</w:t>
      </w:r>
      <w:r w:rsidR="00EC2C3B" w:rsidRPr="00FC25BB">
        <w:rPr>
          <w:rFonts w:asciiTheme="majorBidi" w:hAnsiTheme="majorBidi" w:cstheme="majorBidi"/>
          <w:color w:val="231F20"/>
          <w:sz w:val="24"/>
          <w:szCs w:val="24"/>
        </w:rPr>
        <w:t>.</w:t>
      </w:r>
      <w:r w:rsidR="003D4DA5">
        <w:rPr>
          <w:rFonts w:asciiTheme="majorBidi" w:hAnsiTheme="majorBidi" w:cstheme="majorBidi"/>
          <w:color w:val="231F20"/>
          <w:sz w:val="24"/>
          <w:szCs w:val="24"/>
        </w:rPr>
        <w:t xml:space="preserve"> </w:t>
      </w:r>
      <w:proofErr w:type="spellStart"/>
      <w:r w:rsidRPr="00FC25BB">
        <w:rPr>
          <w:rFonts w:asciiTheme="majorBidi" w:hAnsiTheme="majorBidi" w:cstheme="majorBidi"/>
          <w:color w:val="231F20"/>
          <w:sz w:val="24"/>
          <w:szCs w:val="24"/>
        </w:rPr>
        <w:t>Duncan,A.J</w:t>
      </w:r>
      <w:proofErr w:type="spellEnd"/>
      <w:r w:rsidRPr="00FC25BB">
        <w:rPr>
          <w:rFonts w:asciiTheme="majorBidi" w:hAnsiTheme="majorBidi" w:cstheme="majorBidi"/>
          <w:color w:val="231F20"/>
          <w:sz w:val="24"/>
          <w:szCs w:val="24"/>
        </w:rPr>
        <w:t xml:space="preserve">. and  </w:t>
      </w:r>
      <w:proofErr w:type="spellStart"/>
      <w:r w:rsidRPr="00FC25BB">
        <w:rPr>
          <w:rFonts w:asciiTheme="majorBidi" w:hAnsiTheme="majorBidi" w:cstheme="majorBidi"/>
          <w:color w:val="231F20"/>
          <w:sz w:val="24"/>
          <w:szCs w:val="24"/>
        </w:rPr>
        <w:t>Levin</w:t>
      </w:r>
      <w:r w:rsidRPr="00FC25BB">
        <w:rPr>
          <w:rFonts w:asciiTheme="majorBidi" w:hAnsiTheme="majorBidi" w:cstheme="majorBidi"/>
          <w:sz w:val="24"/>
          <w:szCs w:val="24"/>
        </w:rPr>
        <w:t>,A</w:t>
      </w:r>
      <w:proofErr w:type="spellEnd"/>
      <w:r w:rsidRPr="00FC25BB">
        <w:rPr>
          <w:rFonts w:asciiTheme="majorBidi" w:hAnsiTheme="majorBidi" w:cstheme="majorBidi"/>
          <w:sz w:val="24"/>
          <w:szCs w:val="24"/>
        </w:rPr>
        <w:t>.(2005).</w:t>
      </w:r>
      <w:r w:rsidRPr="00FC25BB">
        <w:rPr>
          <w:rFonts w:asciiTheme="majorBidi" w:hAnsiTheme="majorBidi" w:cstheme="majorBidi"/>
          <w:color w:val="FFFFFF"/>
          <w:sz w:val="24"/>
          <w:szCs w:val="24"/>
        </w:rPr>
        <w:t xml:space="preserve">d. </w:t>
      </w:r>
      <w:r w:rsidRPr="00FC25BB">
        <w:rPr>
          <w:rFonts w:asciiTheme="majorBidi" w:hAnsiTheme="majorBidi" w:cstheme="majorBidi"/>
          <w:sz w:val="24"/>
          <w:szCs w:val="24"/>
        </w:rPr>
        <w:t xml:space="preserve">Sex, </w:t>
      </w:r>
      <w:proofErr w:type="spellStart"/>
      <w:r w:rsidRPr="00FC25BB">
        <w:rPr>
          <w:rFonts w:asciiTheme="majorBidi" w:hAnsiTheme="majorBidi" w:cstheme="majorBidi"/>
          <w:sz w:val="24"/>
          <w:szCs w:val="24"/>
        </w:rPr>
        <w:t>haemoglobin</w:t>
      </w:r>
      <w:proofErr w:type="spellEnd"/>
      <w:r w:rsidRPr="00FC25BB">
        <w:rPr>
          <w:rFonts w:asciiTheme="majorBidi" w:hAnsiTheme="majorBidi" w:cstheme="majorBidi"/>
          <w:sz w:val="24"/>
          <w:szCs w:val="24"/>
        </w:rPr>
        <w:t xml:space="preserve"> and kidney disease: new perspectives. European Journal of Clinical Investigation . 35 ( 3): 52–57.</w:t>
      </w:r>
    </w:p>
    <w:p w:rsidR="00042769" w:rsidRPr="00FC25BB" w:rsidRDefault="00AA26A3" w:rsidP="00FC25BB">
      <w:pPr>
        <w:bidi w:val="0"/>
        <w:spacing w:after="0" w:line="240" w:lineRule="auto"/>
        <w:jc w:val="both"/>
        <w:rPr>
          <w:rFonts w:asciiTheme="majorBidi" w:hAnsiTheme="majorBidi" w:cstheme="majorBidi"/>
          <w:sz w:val="24"/>
          <w:szCs w:val="24"/>
          <w:lang w:bidi="ar-IQ"/>
        </w:rPr>
      </w:pPr>
      <w:r w:rsidRPr="00FC25BB">
        <w:rPr>
          <w:rFonts w:asciiTheme="majorBidi" w:hAnsiTheme="majorBidi" w:cstheme="majorBidi"/>
          <w:color w:val="010202"/>
          <w:sz w:val="24"/>
          <w:szCs w:val="24"/>
        </w:rPr>
        <w:t>8</w:t>
      </w:r>
      <w:r w:rsidR="00EC2C3B" w:rsidRPr="00FC25BB">
        <w:rPr>
          <w:rFonts w:asciiTheme="majorBidi" w:hAnsiTheme="majorBidi" w:cstheme="majorBidi"/>
          <w:color w:val="010202"/>
          <w:sz w:val="24"/>
          <w:szCs w:val="24"/>
        </w:rPr>
        <w:t>.</w:t>
      </w:r>
      <w:r w:rsidR="003D4DA5">
        <w:rPr>
          <w:rFonts w:asciiTheme="majorBidi" w:hAnsiTheme="majorBidi" w:cstheme="majorBidi"/>
          <w:color w:val="010202"/>
          <w:sz w:val="24"/>
          <w:szCs w:val="24"/>
        </w:rPr>
        <w:t xml:space="preserve"> </w:t>
      </w:r>
      <w:r w:rsidR="00042769" w:rsidRPr="00FC25BB">
        <w:rPr>
          <w:rFonts w:asciiTheme="majorBidi" w:hAnsiTheme="majorBidi" w:cstheme="majorBidi"/>
          <w:color w:val="010202"/>
          <w:sz w:val="24"/>
          <w:szCs w:val="24"/>
        </w:rPr>
        <w:t xml:space="preserve">El </w:t>
      </w:r>
      <w:proofErr w:type="spellStart"/>
      <w:r w:rsidR="00042769" w:rsidRPr="00FC25BB">
        <w:rPr>
          <w:rFonts w:asciiTheme="majorBidi" w:hAnsiTheme="majorBidi" w:cstheme="majorBidi"/>
          <w:color w:val="010202"/>
          <w:sz w:val="24"/>
          <w:szCs w:val="24"/>
        </w:rPr>
        <w:t>Assaly</w:t>
      </w:r>
      <w:proofErr w:type="spellEnd"/>
      <w:r w:rsidR="00042769" w:rsidRPr="00FC25BB">
        <w:rPr>
          <w:rFonts w:asciiTheme="majorBidi" w:hAnsiTheme="majorBidi" w:cstheme="majorBidi"/>
          <w:color w:val="010202"/>
          <w:sz w:val="24"/>
          <w:szCs w:val="24"/>
        </w:rPr>
        <w:t xml:space="preserve"> .N.M.; El-</w:t>
      </w:r>
      <w:proofErr w:type="spellStart"/>
      <w:r w:rsidR="00042769" w:rsidRPr="00FC25BB">
        <w:rPr>
          <w:rFonts w:asciiTheme="majorBidi" w:hAnsiTheme="majorBidi" w:cstheme="majorBidi"/>
          <w:color w:val="010202"/>
          <w:sz w:val="24"/>
          <w:szCs w:val="24"/>
        </w:rPr>
        <w:t>Ashry,N</w:t>
      </w:r>
      <w:proofErr w:type="spellEnd"/>
      <w:r w:rsidR="00042769" w:rsidRPr="00FC25BB">
        <w:rPr>
          <w:rFonts w:asciiTheme="majorBidi" w:hAnsiTheme="majorBidi" w:cstheme="majorBidi"/>
          <w:color w:val="010202"/>
          <w:sz w:val="24"/>
          <w:szCs w:val="24"/>
        </w:rPr>
        <w:t>. ;  Waked ,E. and  El-</w:t>
      </w:r>
      <w:proofErr w:type="spellStart"/>
      <w:r w:rsidR="00042769" w:rsidRPr="00FC25BB">
        <w:rPr>
          <w:rFonts w:asciiTheme="majorBidi" w:hAnsiTheme="majorBidi" w:cstheme="majorBidi"/>
          <w:color w:val="010202"/>
          <w:sz w:val="24"/>
          <w:szCs w:val="24"/>
        </w:rPr>
        <w:t>Damarawy</w:t>
      </w:r>
      <w:r w:rsidR="00042769" w:rsidRPr="00FC25BB">
        <w:rPr>
          <w:rFonts w:asciiTheme="majorBidi" w:hAnsiTheme="majorBidi" w:cstheme="majorBidi"/>
          <w:sz w:val="24"/>
          <w:szCs w:val="24"/>
          <w:lang w:bidi="ar-IQ"/>
        </w:rPr>
        <w:t>,M</w:t>
      </w:r>
      <w:proofErr w:type="spellEnd"/>
      <w:r w:rsidR="00042769" w:rsidRPr="00FC25BB">
        <w:rPr>
          <w:rFonts w:asciiTheme="majorBidi" w:hAnsiTheme="majorBidi" w:cstheme="majorBidi"/>
          <w:sz w:val="24"/>
          <w:szCs w:val="24"/>
          <w:lang w:bidi="ar-IQ"/>
        </w:rPr>
        <w:t>.</w:t>
      </w:r>
      <w:r w:rsidR="00042769" w:rsidRPr="00FC25BB">
        <w:rPr>
          <w:rFonts w:asciiTheme="majorBidi" w:hAnsiTheme="majorBidi" w:cstheme="majorBidi"/>
          <w:sz w:val="24"/>
          <w:szCs w:val="24"/>
          <w:lang w:val="en-GB" w:bidi="ar-IQ"/>
        </w:rPr>
        <w:t xml:space="preserve"> </w:t>
      </w:r>
      <w:r w:rsidR="00042769" w:rsidRPr="00FC25BB">
        <w:rPr>
          <w:rFonts w:asciiTheme="majorBidi" w:hAnsiTheme="majorBidi" w:cstheme="majorBidi"/>
          <w:color w:val="010202"/>
          <w:sz w:val="24"/>
          <w:szCs w:val="24"/>
        </w:rPr>
        <w:t xml:space="preserve"> (2008). Gonadal Dysfunction in Chronic Renal Failure. Australian Journal of Basic and Applied Sciences; 2(3): 481-487.</w:t>
      </w:r>
    </w:p>
    <w:p w:rsidR="00042769" w:rsidRPr="00FC25BB" w:rsidRDefault="00AA26A3"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9</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042769" w:rsidRPr="00FC25BB">
        <w:rPr>
          <w:rFonts w:asciiTheme="majorBidi" w:hAnsiTheme="majorBidi" w:cstheme="majorBidi"/>
          <w:sz w:val="24"/>
          <w:szCs w:val="24"/>
        </w:rPr>
        <w:t>Gamber</w:t>
      </w:r>
      <w:proofErr w:type="spellEnd"/>
      <w:r w:rsidR="00042769" w:rsidRPr="00FC25BB">
        <w:rPr>
          <w:rFonts w:asciiTheme="majorBidi" w:hAnsiTheme="majorBidi" w:cstheme="majorBidi"/>
          <w:sz w:val="24"/>
          <w:szCs w:val="24"/>
        </w:rPr>
        <w:t xml:space="preserve"> , F . M .(2009).Evaluation of Thyroid function Status in Hemodialysis Patients. Karbala J. Med. ; 2 (8):716-724 .</w:t>
      </w:r>
    </w:p>
    <w:p w:rsidR="00042769" w:rsidRPr="00FC25BB" w:rsidRDefault="00AA26A3"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color w:val="231F20"/>
          <w:sz w:val="24"/>
          <w:szCs w:val="24"/>
        </w:rPr>
        <w:t>10</w:t>
      </w:r>
      <w:r w:rsidR="00EC2C3B" w:rsidRPr="00FC25BB">
        <w:rPr>
          <w:rFonts w:asciiTheme="majorBidi" w:hAnsiTheme="majorBidi" w:cstheme="majorBidi"/>
          <w:color w:val="231F20"/>
          <w:sz w:val="24"/>
          <w:szCs w:val="24"/>
        </w:rPr>
        <w:t>.</w:t>
      </w:r>
      <w:r w:rsidR="003D4DA5">
        <w:rPr>
          <w:rFonts w:asciiTheme="majorBidi" w:hAnsiTheme="majorBidi" w:cstheme="majorBidi"/>
          <w:color w:val="231F20"/>
          <w:sz w:val="24"/>
          <w:szCs w:val="24"/>
        </w:rPr>
        <w:t xml:space="preserve"> </w:t>
      </w:r>
      <w:r w:rsidR="00042769" w:rsidRPr="00FC25BB">
        <w:rPr>
          <w:rFonts w:asciiTheme="majorBidi" w:hAnsiTheme="majorBidi" w:cstheme="majorBidi"/>
          <w:color w:val="231F20"/>
          <w:sz w:val="24"/>
          <w:szCs w:val="24"/>
        </w:rPr>
        <w:t xml:space="preserve">Genovese, G.; Friedman, DJ.; Ross ,MD.;, </w:t>
      </w:r>
      <w:proofErr w:type="spellStart"/>
      <w:r w:rsidR="00042769" w:rsidRPr="00FC25BB">
        <w:rPr>
          <w:rStyle w:val="st"/>
          <w:rFonts w:asciiTheme="majorBidi" w:hAnsiTheme="majorBidi" w:cstheme="majorBidi"/>
          <w:sz w:val="24"/>
          <w:szCs w:val="24"/>
        </w:rPr>
        <w:t>Lecordier</w:t>
      </w:r>
      <w:proofErr w:type="spellEnd"/>
      <w:r w:rsidR="00042769" w:rsidRPr="00FC25BB">
        <w:rPr>
          <w:rStyle w:val="st"/>
          <w:rFonts w:asciiTheme="majorBidi" w:hAnsiTheme="majorBidi" w:cstheme="majorBidi"/>
          <w:sz w:val="24"/>
          <w:szCs w:val="24"/>
        </w:rPr>
        <w:t xml:space="preserve"> L.; </w:t>
      </w:r>
      <w:proofErr w:type="spellStart"/>
      <w:r w:rsidR="00042769" w:rsidRPr="00FC25BB">
        <w:rPr>
          <w:rStyle w:val="st"/>
          <w:rFonts w:asciiTheme="majorBidi" w:hAnsiTheme="majorBidi" w:cstheme="majorBidi"/>
          <w:sz w:val="24"/>
          <w:szCs w:val="24"/>
        </w:rPr>
        <w:t>Uzureau</w:t>
      </w:r>
      <w:proofErr w:type="spellEnd"/>
      <w:r w:rsidR="00042769" w:rsidRPr="00FC25BB">
        <w:rPr>
          <w:rStyle w:val="st"/>
          <w:rFonts w:asciiTheme="majorBidi" w:hAnsiTheme="majorBidi" w:cstheme="majorBidi"/>
          <w:sz w:val="24"/>
          <w:szCs w:val="24"/>
        </w:rPr>
        <w:t xml:space="preserve"> ,  </w:t>
      </w:r>
      <w:proofErr w:type="spellStart"/>
      <w:r w:rsidR="00042769" w:rsidRPr="00FC25BB">
        <w:rPr>
          <w:rStyle w:val="st"/>
          <w:rFonts w:asciiTheme="majorBidi" w:hAnsiTheme="majorBidi" w:cstheme="majorBidi"/>
          <w:sz w:val="24"/>
          <w:szCs w:val="24"/>
        </w:rPr>
        <w:t>P.;Freedman</w:t>
      </w:r>
      <w:proofErr w:type="spellEnd"/>
      <w:r w:rsidR="00042769" w:rsidRPr="00FC25BB">
        <w:rPr>
          <w:rStyle w:val="st"/>
          <w:rFonts w:asciiTheme="majorBidi" w:hAnsiTheme="majorBidi" w:cstheme="majorBidi"/>
          <w:sz w:val="24"/>
          <w:szCs w:val="24"/>
        </w:rPr>
        <w:t xml:space="preserve"> ,B.I.; </w:t>
      </w:r>
      <w:proofErr w:type="spellStart"/>
      <w:r w:rsidR="00042769" w:rsidRPr="00FC25BB">
        <w:rPr>
          <w:rStyle w:val="st"/>
          <w:rFonts w:asciiTheme="majorBidi" w:hAnsiTheme="majorBidi" w:cstheme="majorBidi"/>
          <w:sz w:val="24"/>
          <w:szCs w:val="24"/>
        </w:rPr>
        <w:t>Oleksyk</w:t>
      </w:r>
      <w:proofErr w:type="spellEnd"/>
      <w:r w:rsidR="00042769" w:rsidRPr="00FC25BB">
        <w:rPr>
          <w:rStyle w:val="st"/>
          <w:rFonts w:asciiTheme="majorBidi" w:hAnsiTheme="majorBidi" w:cstheme="majorBidi"/>
          <w:sz w:val="24"/>
          <w:szCs w:val="24"/>
        </w:rPr>
        <w:t xml:space="preserve">, T.K.; </w:t>
      </w:r>
      <w:proofErr w:type="spellStart"/>
      <w:r w:rsidR="00042769" w:rsidRPr="00FC25BB">
        <w:rPr>
          <w:rStyle w:val="st"/>
          <w:rFonts w:asciiTheme="majorBidi" w:hAnsiTheme="majorBidi" w:cstheme="majorBidi"/>
          <w:sz w:val="24"/>
          <w:szCs w:val="24"/>
        </w:rPr>
        <w:t>Uscinski</w:t>
      </w:r>
      <w:proofErr w:type="spellEnd"/>
      <w:r w:rsidR="00042769" w:rsidRPr="00FC25BB">
        <w:rPr>
          <w:rStyle w:val="st"/>
          <w:rFonts w:asciiTheme="majorBidi" w:hAnsiTheme="majorBidi" w:cstheme="majorBidi"/>
          <w:sz w:val="24"/>
          <w:szCs w:val="24"/>
        </w:rPr>
        <w:t xml:space="preserve"> Knob, </w:t>
      </w:r>
      <w:r w:rsidR="00042769" w:rsidRPr="00FC25BB">
        <w:rPr>
          <w:rStyle w:val="a7"/>
          <w:rFonts w:asciiTheme="majorBidi" w:hAnsiTheme="majorBidi" w:cstheme="majorBidi"/>
          <w:i w:val="0"/>
          <w:iCs w:val="0"/>
          <w:sz w:val="24"/>
          <w:szCs w:val="24"/>
        </w:rPr>
        <w:t>A.L</w:t>
      </w:r>
      <w:r w:rsidR="00042769" w:rsidRPr="00FC25BB">
        <w:rPr>
          <w:rStyle w:val="st"/>
          <w:rFonts w:asciiTheme="majorBidi" w:hAnsiTheme="majorBidi" w:cstheme="majorBidi"/>
          <w:sz w:val="24"/>
          <w:szCs w:val="24"/>
        </w:rPr>
        <w:t xml:space="preserve">.; </w:t>
      </w:r>
      <w:proofErr w:type="spellStart"/>
      <w:r w:rsidR="00042769" w:rsidRPr="00FC25BB">
        <w:rPr>
          <w:rStyle w:val="st"/>
          <w:rFonts w:asciiTheme="majorBidi" w:hAnsiTheme="majorBidi" w:cstheme="majorBidi"/>
          <w:sz w:val="24"/>
          <w:szCs w:val="24"/>
        </w:rPr>
        <w:t>Bernhardy</w:t>
      </w:r>
      <w:proofErr w:type="spellEnd"/>
      <w:r w:rsidR="00042769" w:rsidRPr="00FC25BB">
        <w:rPr>
          <w:rStyle w:val="st"/>
          <w:rFonts w:asciiTheme="majorBidi" w:hAnsiTheme="majorBidi" w:cstheme="majorBidi"/>
          <w:sz w:val="24"/>
          <w:szCs w:val="24"/>
        </w:rPr>
        <w:t>, A.J.; Hicks ,P.J.&amp; Nelson, G.W</w:t>
      </w:r>
      <w:r w:rsidR="00042769" w:rsidRPr="00FC25BB">
        <w:rPr>
          <w:rFonts w:asciiTheme="majorBidi" w:hAnsiTheme="majorBidi" w:cstheme="majorBidi"/>
          <w:color w:val="231F20"/>
          <w:sz w:val="24"/>
          <w:szCs w:val="24"/>
        </w:rPr>
        <w:t xml:space="preserve">.(2010). Association of  </w:t>
      </w:r>
      <w:proofErr w:type="spellStart"/>
      <w:r w:rsidR="00042769" w:rsidRPr="00FC25BB">
        <w:rPr>
          <w:rFonts w:asciiTheme="majorBidi" w:hAnsiTheme="majorBidi" w:cstheme="majorBidi"/>
          <w:color w:val="231F20"/>
          <w:sz w:val="24"/>
          <w:szCs w:val="24"/>
        </w:rPr>
        <w:t>trypanolytic</w:t>
      </w:r>
      <w:proofErr w:type="spellEnd"/>
      <w:r w:rsidR="00042769" w:rsidRPr="00FC25BB">
        <w:rPr>
          <w:rFonts w:asciiTheme="majorBidi" w:hAnsiTheme="majorBidi" w:cstheme="majorBidi"/>
          <w:color w:val="231F20"/>
          <w:sz w:val="24"/>
          <w:szCs w:val="24"/>
        </w:rPr>
        <w:t xml:space="preserve"> ApoL1 variants with kidney disease in African </w:t>
      </w:r>
      <w:proofErr w:type="spellStart"/>
      <w:r w:rsidR="00042769" w:rsidRPr="00FC25BB">
        <w:rPr>
          <w:rFonts w:asciiTheme="majorBidi" w:hAnsiTheme="majorBidi" w:cstheme="majorBidi"/>
          <w:color w:val="231F20"/>
          <w:sz w:val="24"/>
          <w:szCs w:val="24"/>
        </w:rPr>
        <w:t>Americans.Science</w:t>
      </w:r>
      <w:proofErr w:type="spellEnd"/>
      <w:r w:rsidR="00042769" w:rsidRPr="00FC25BB">
        <w:rPr>
          <w:rFonts w:asciiTheme="majorBidi" w:hAnsiTheme="majorBidi" w:cstheme="majorBidi"/>
          <w:color w:val="231F20"/>
          <w:sz w:val="24"/>
          <w:szCs w:val="24"/>
        </w:rPr>
        <w:t xml:space="preserve"> ; 329: 841–845.</w:t>
      </w:r>
      <w:r w:rsidR="00042769" w:rsidRPr="00FC25BB">
        <w:rPr>
          <w:rFonts w:asciiTheme="majorBidi" w:hAnsiTheme="majorBidi" w:cstheme="majorBidi"/>
          <w:sz w:val="24"/>
          <w:szCs w:val="24"/>
        </w:rPr>
        <w:t xml:space="preserve"> </w:t>
      </w:r>
    </w:p>
    <w:p w:rsidR="003E6FFF" w:rsidRPr="00FC25BB" w:rsidRDefault="00AA26A3"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11</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3E6FFF" w:rsidRPr="00FC25BB">
        <w:rPr>
          <w:rFonts w:asciiTheme="majorBidi" w:hAnsiTheme="majorBidi" w:cstheme="majorBidi"/>
          <w:sz w:val="24"/>
          <w:szCs w:val="24"/>
        </w:rPr>
        <w:t>Gluhovschi</w:t>
      </w:r>
      <w:proofErr w:type="spellEnd"/>
      <w:r w:rsidR="003E6FFF" w:rsidRPr="00FC25BB">
        <w:rPr>
          <w:rFonts w:asciiTheme="majorBidi" w:hAnsiTheme="majorBidi" w:cstheme="majorBidi"/>
          <w:sz w:val="24"/>
          <w:szCs w:val="24"/>
        </w:rPr>
        <w:t xml:space="preserve">, G.; </w:t>
      </w:r>
      <w:proofErr w:type="spellStart"/>
      <w:r w:rsidR="003E6FFF" w:rsidRPr="00FC25BB">
        <w:rPr>
          <w:rFonts w:asciiTheme="majorBidi" w:hAnsiTheme="majorBidi" w:cstheme="majorBidi"/>
          <w:sz w:val="24"/>
          <w:szCs w:val="24"/>
        </w:rPr>
        <w:t>GluhovschiL</w:t>
      </w:r>
      <w:proofErr w:type="spellEnd"/>
      <w:r w:rsidR="003E6FFF" w:rsidRPr="00FC25BB">
        <w:rPr>
          <w:rFonts w:asciiTheme="majorBidi" w:hAnsiTheme="majorBidi" w:cstheme="majorBidi"/>
          <w:sz w:val="24"/>
          <w:szCs w:val="24"/>
        </w:rPr>
        <w:t xml:space="preserve">, A.; </w:t>
      </w:r>
      <w:proofErr w:type="spellStart"/>
      <w:r w:rsidR="003E6FFF" w:rsidRPr="00FC25BB">
        <w:rPr>
          <w:rFonts w:asciiTheme="majorBidi" w:hAnsiTheme="majorBidi" w:cstheme="majorBidi"/>
          <w:sz w:val="24"/>
          <w:szCs w:val="24"/>
        </w:rPr>
        <w:t>Anastasiu</w:t>
      </w:r>
      <w:proofErr w:type="spellEnd"/>
      <w:r w:rsidR="003E6FFF" w:rsidRPr="00FC25BB">
        <w:rPr>
          <w:rFonts w:asciiTheme="majorBidi" w:hAnsiTheme="majorBidi" w:cstheme="majorBidi"/>
          <w:sz w:val="24"/>
          <w:szCs w:val="24"/>
        </w:rPr>
        <w:t xml:space="preserve"> ,D.; </w:t>
      </w:r>
      <w:proofErr w:type="spellStart"/>
      <w:r w:rsidR="003E6FFF" w:rsidRPr="00FC25BB">
        <w:rPr>
          <w:rFonts w:asciiTheme="majorBidi" w:hAnsiTheme="majorBidi" w:cstheme="majorBidi"/>
          <w:sz w:val="24"/>
          <w:szCs w:val="24"/>
        </w:rPr>
        <w:t>Petrica,L</w:t>
      </w:r>
      <w:proofErr w:type="spellEnd"/>
      <w:r w:rsidR="003E6FFF" w:rsidRPr="00FC25BB">
        <w:rPr>
          <w:rFonts w:asciiTheme="majorBidi" w:hAnsiTheme="majorBidi" w:cstheme="majorBidi"/>
          <w:sz w:val="24"/>
          <w:szCs w:val="24"/>
        </w:rPr>
        <w:t xml:space="preserve">.;  </w:t>
      </w:r>
      <w:proofErr w:type="spellStart"/>
      <w:r w:rsidR="003E6FFF" w:rsidRPr="00FC25BB">
        <w:rPr>
          <w:rFonts w:asciiTheme="majorBidi" w:hAnsiTheme="majorBidi" w:cstheme="majorBidi"/>
          <w:sz w:val="24"/>
          <w:szCs w:val="24"/>
        </w:rPr>
        <w:t>Gluhovschi</w:t>
      </w:r>
      <w:proofErr w:type="spellEnd"/>
      <w:r w:rsidR="003E6FFF" w:rsidRPr="00FC25BB">
        <w:rPr>
          <w:rFonts w:asciiTheme="majorBidi" w:hAnsiTheme="majorBidi" w:cstheme="majorBidi"/>
          <w:sz w:val="24"/>
          <w:szCs w:val="24"/>
        </w:rPr>
        <w:t xml:space="preserve">, C.&amp; </w:t>
      </w:r>
      <w:proofErr w:type="spellStart"/>
      <w:r w:rsidR="003E6FFF" w:rsidRPr="00FC25BB">
        <w:rPr>
          <w:rFonts w:asciiTheme="majorBidi" w:hAnsiTheme="majorBidi" w:cstheme="majorBidi"/>
          <w:sz w:val="24"/>
          <w:szCs w:val="24"/>
        </w:rPr>
        <w:t>Velciov,S</w:t>
      </w:r>
      <w:proofErr w:type="spellEnd"/>
      <w:r w:rsidR="003E6FFF" w:rsidRPr="00FC25BB">
        <w:rPr>
          <w:rFonts w:asciiTheme="majorBidi" w:hAnsiTheme="majorBidi" w:cstheme="majorBidi"/>
          <w:sz w:val="24"/>
          <w:szCs w:val="24"/>
        </w:rPr>
        <w:t>.(2012). Chronic Kidney Disease and the Involvement of Estrogen Hormones in its Pathogenesis</w:t>
      </w:r>
    </w:p>
    <w:p w:rsidR="00547EE9" w:rsidRPr="00FC25BB" w:rsidRDefault="00AA26A3"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12</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547EE9" w:rsidRPr="00FC25BB">
        <w:rPr>
          <w:rFonts w:asciiTheme="majorBidi" w:hAnsiTheme="majorBidi" w:cstheme="majorBidi"/>
          <w:sz w:val="24"/>
          <w:szCs w:val="24"/>
        </w:rPr>
        <w:t xml:space="preserve">Go, A.S.; Fang, M.C.; </w:t>
      </w:r>
      <w:proofErr w:type="spellStart"/>
      <w:r w:rsidR="00547EE9" w:rsidRPr="00FC25BB">
        <w:rPr>
          <w:rFonts w:asciiTheme="majorBidi" w:hAnsiTheme="majorBidi" w:cstheme="majorBidi"/>
          <w:sz w:val="24"/>
          <w:szCs w:val="24"/>
        </w:rPr>
        <w:t>Udaltsova</w:t>
      </w:r>
      <w:proofErr w:type="spellEnd"/>
      <w:r w:rsidR="00547EE9" w:rsidRPr="00FC25BB">
        <w:rPr>
          <w:rFonts w:asciiTheme="majorBidi" w:hAnsiTheme="majorBidi" w:cstheme="majorBidi"/>
          <w:sz w:val="24"/>
          <w:szCs w:val="24"/>
        </w:rPr>
        <w:t xml:space="preserve"> ,</w:t>
      </w:r>
      <w:r w:rsidR="003D4DA5">
        <w:rPr>
          <w:rFonts w:asciiTheme="majorBidi" w:hAnsiTheme="majorBidi" w:cstheme="majorBidi"/>
          <w:sz w:val="24"/>
          <w:szCs w:val="24"/>
        </w:rPr>
        <w:t xml:space="preserve"> </w:t>
      </w:r>
      <w:r w:rsidR="00547EE9" w:rsidRPr="00FC25BB">
        <w:rPr>
          <w:rFonts w:asciiTheme="majorBidi" w:hAnsiTheme="majorBidi" w:cstheme="majorBidi"/>
          <w:sz w:val="24"/>
          <w:szCs w:val="24"/>
        </w:rPr>
        <w:t xml:space="preserve">N.; </w:t>
      </w:r>
      <w:r w:rsidR="00547EE9" w:rsidRPr="00FC25BB">
        <w:rPr>
          <w:rStyle w:val="st"/>
          <w:rFonts w:asciiTheme="majorBidi" w:hAnsiTheme="majorBidi" w:cstheme="majorBidi"/>
          <w:sz w:val="24"/>
          <w:szCs w:val="24"/>
        </w:rPr>
        <w:t xml:space="preserve">Chang ,Y.; </w:t>
      </w:r>
      <w:proofErr w:type="spellStart"/>
      <w:r w:rsidR="00547EE9" w:rsidRPr="00FC25BB">
        <w:rPr>
          <w:rStyle w:val="st"/>
          <w:rFonts w:asciiTheme="majorBidi" w:hAnsiTheme="majorBidi" w:cstheme="majorBidi"/>
          <w:sz w:val="24"/>
          <w:szCs w:val="24"/>
        </w:rPr>
        <w:t>Pomernacki</w:t>
      </w:r>
      <w:proofErr w:type="spellEnd"/>
      <w:r w:rsidR="00547EE9" w:rsidRPr="00FC25BB">
        <w:rPr>
          <w:rStyle w:val="st"/>
          <w:rFonts w:asciiTheme="majorBidi" w:hAnsiTheme="majorBidi" w:cstheme="majorBidi"/>
          <w:sz w:val="24"/>
          <w:szCs w:val="24"/>
        </w:rPr>
        <w:t xml:space="preserve"> ,N.K.&amp; </w:t>
      </w:r>
      <w:proofErr w:type="spellStart"/>
      <w:r w:rsidR="00547EE9" w:rsidRPr="00FC25BB">
        <w:rPr>
          <w:rStyle w:val="st"/>
          <w:rFonts w:asciiTheme="majorBidi" w:hAnsiTheme="majorBidi" w:cstheme="majorBidi"/>
          <w:sz w:val="24"/>
          <w:szCs w:val="24"/>
        </w:rPr>
        <w:t>Borowsky</w:t>
      </w:r>
      <w:proofErr w:type="spellEnd"/>
      <w:r w:rsidR="00547EE9" w:rsidRPr="00FC25BB">
        <w:rPr>
          <w:rStyle w:val="st"/>
          <w:rFonts w:asciiTheme="majorBidi" w:hAnsiTheme="majorBidi" w:cstheme="majorBidi"/>
          <w:sz w:val="24"/>
          <w:szCs w:val="24"/>
        </w:rPr>
        <w:t>, L</w:t>
      </w:r>
      <w:r w:rsidR="00547EE9" w:rsidRPr="00FC25BB">
        <w:rPr>
          <w:rFonts w:asciiTheme="majorBidi" w:hAnsiTheme="majorBidi" w:cstheme="majorBidi"/>
          <w:sz w:val="24"/>
          <w:szCs w:val="24"/>
        </w:rPr>
        <w:t xml:space="preserve">.(2009). Impact of proteinuria and </w:t>
      </w:r>
      <w:proofErr w:type="spellStart"/>
      <w:r w:rsidR="00547EE9" w:rsidRPr="00FC25BB">
        <w:rPr>
          <w:rFonts w:asciiTheme="majorBidi" w:hAnsiTheme="majorBidi" w:cstheme="majorBidi"/>
          <w:sz w:val="24"/>
          <w:szCs w:val="24"/>
        </w:rPr>
        <w:t>glomerularfiltration</w:t>
      </w:r>
      <w:proofErr w:type="spellEnd"/>
      <w:r w:rsidR="00547EE9" w:rsidRPr="00FC25BB">
        <w:rPr>
          <w:rFonts w:asciiTheme="majorBidi" w:hAnsiTheme="majorBidi" w:cstheme="majorBidi"/>
          <w:sz w:val="24"/>
          <w:szCs w:val="24"/>
        </w:rPr>
        <w:t xml:space="preserve"> rate on risk of thromboembolism in atrial fibrillation: </w:t>
      </w:r>
      <w:proofErr w:type="spellStart"/>
      <w:r w:rsidR="00547EE9" w:rsidRPr="00FC25BB">
        <w:rPr>
          <w:rFonts w:asciiTheme="majorBidi" w:hAnsiTheme="majorBidi" w:cstheme="majorBidi"/>
          <w:sz w:val="24"/>
          <w:szCs w:val="24"/>
        </w:rPr>
        <w:t>theanticoagulation</w:t>
      </w:r>
      <w:proofErr w:type="spellEnd"/>
      <w:r w:rsidR="00547EE9" w:rsidRPr="00FC25BB">
        <w:rPr>
          <w:rFonts w:asciiTheme="majorBidi" w:hAnsiTheme="majorBidi" w:cstheme="majorBidi"/>
          <w:sz w:val="24"/>
          <w:szCs w:val="24"/>
        </w:rPr>
        <w:t xml:space="preserve"> and risk factors in atrial fibrillation (ATRIA) study. Circulation 2009; 119: 1363–1369.</w:t>
      </w:r>
    </w:p>
    <w:p w:rsidR="009165E3" w:rsidRPr="00FC25BB" w:rsidRDefault="00AA26A3"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13</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hyperlink r:id="rId14" w:history="1">
        <w:r w:rsidR="009165E3" w:rsidRPr="00FC25BB">
          <w:rPr>
            <w:rStyle w:val="Hyperlink"/>
            <w:rFonts w:asciiTheme="majorBidi" w:hAnsiTheme="majorBidi" w:cstheme="majorBidi"/>
            <w:color w:val="auto"/>
            <w:sz w:val="24"/>
            <w:szCs w:val="24"/>
            <w:u w:val="none"/>
          </w:rPr>
          <w:t>Iglesias,  P</w:t>
        </w:r>
      </w:hyperlink>
      <w:r w:rsidR="009165E3" w:rsidRPr="00FC25BB">
        <w:rPr>
          <w:rFonts w:asciiTheme="majorBidi" w:hAnsiTheme="majorBidi" w:cstheme="majorBidi"/>
          <w:sz w:val="24"/>
          <w:szCs w:val="24"/>
        </w:rPr>
        <w:t xml:space="preserve">.; </w:t>
      </w:r>
      <w:proofErr w:type="spellStart"/>
      <w:r w:rsidR="009165E3" w:rsidRPr="00FC25BB">
        <w:rPr>
          <w:rFonts w:asciiTheme="majorBidi" w:hAnsiTheme="majorBidi" w:cstheme="majorBidi"/>
          <w:sz w:val="24"/>
          <w:szCs w:val="24"/>
        </w:rPr>
        <w:t>Carrero</w:t>
      </w:r>
      <w:proofErr w:type="spellEnd"/>
      <w:r w:rsidR="009165E3" w:rsidRPr="00FC25BB">
        <w:rPr>
          <w:rFonts w:asciiTheme="majorBidi" w:hAnsiTheme="majorBidi" w:cstheme="majorBidi"/>
          <w:sz w:val="24"/>
          <w:szCs w:val="24"/>
        </w:rPr>
        <w:t>, J.J. &amp;</w:t>
      </w:r>
      <w:proofErr w:type="spellStart"/>
      <w:r w:rsidR="009165E3" w:rsidRPr="00FC25BB">
        <w:rPr>
          <w:rFonts w:asciiTheme="majorBidi" w:hAnsiTheme="majorBidi" w:cstheme="majorBidi"/>
          <w:sz w:val="24"/>
          <w:szCs w:val="24"/>
        </w:rPr>
        <w:t>Diez</w:t>
      </w:r>
      <w:proofErr w:type="spellEnd"/>
      <w:r w:rsidR="009165E3" w:rsidRPr="00FC25BB">
        <w:rPr>
          <w:rFonts w:asciiTheme="majorBidi" w:hAnsiTheme="majorBidi" w:cstheme="majorBidi"/>
          <w:sz w:val="24"/>
          <w:szCs w:val="24"/>
        </w:rPr>
        <w:t xml:space="preserve"> ,</w:t>
      </w:r>
      <w:r w:rsidR="003D4DA5">
        <w:rPr>
          <w:rFonts w:asciiTheme="majorBidi" w:hAnsiTheme="majorBidi" w:cstheme="majorBidi"/>
          <w:sz w:val="24"/>
          <w:szCs w:val="24"/>
        </w:rPr>
        <w:t xml:space="preserve"> </w:t>
      </w:r>
      <w:r w:rsidR="009165E3" w:rsidRPr="00FC25BB">
        <w:rPr>
          <w:rFonts w:asciiTheme="majorBidi" w:hAnsiTheme="majorBidi" w:cstheme="majorBidi"/>
          <w:sz w:val="24"/>
          <w:szCs w:val="24"/>
        </w:rPr>
        <w:t>J.</w:t>
      </w:r>
      <w:r w:rsidR="003D4DA5">
        <w:rPr>
          <w:rFonts w:asciiTheme="majorBidi" w:hAnsiTheme="majorBidi" w:cstheme="majorBidi"/>
          <w:sz w:val="24"/>
          <w:szCs w:val="24"/>
        </w:rPr>
        <w:t xml:space="preserve"> </w:t>
      </w:r>
      <w:r w:rsidR="009165E3" w:rsidRPr="00FC25BB">
        <w:rPr>
          <w:rFonts w:asciiTheme="majorBidi" w:hAnsiTheme="majorBidi" w:cstheme="majorBidi"/>
          <w:sz w:val="24"/>
          <w:szCs w:val="24"/>
        </w:rPr>
        <w:t>J.</w:t>
      </w:r>
      <w:r w:rsidR="003D4DA5">
        <w:rPr>
          <w:rFonts w:asciiTheme="majorBidi" w:hAnsiTheme="majorBidi" w:cstheme="majorBidi"/>
          <w:sz w:val="24"/>
          <w:szCs w:val="24"/>
        </w:rPr>
        <w:t xml:space="preserve"> </w:t>
      </w:r>
      <w:r w:rsidR="009165E3" w:rsidRPr="00FC25BB">
        <w:rPr>
          <w:rFonts w:asciiTheme="majorBidi" w:hAnsiTheme="majorBidi" w:cstheme="majorBidi"/>
          <w:sz w:val="24"/>
          <w:szCs w:val="24"/>
        </w:rPr>
        <w:t xml:space="preserve">(2012). </w:t>
      </w:r>
      <w:r w:rsidR="009165E3" w:rsidRPr="00FC25BB">
        <w:rPr>
          <w:rStyle w:val="abscitationtitle"/>
          <w:rFonts w:asciiTheme="majorBidi" w:hAnsiTheme="majorBidi" w:cstheme="majorBidi"/>
          <w:sz w:val="24"/>
          <w:szCs w:val="24"/>
        </w:rPr>
        <w:t>Gonadal dysfunction in men with chronic kidney disease: clinical features, prognostic implications and therapeutic options</w:t>
      </w:r>
      <w:r w:rsidR="009165E3" w:rsidRPr="00FC25BB">
        <w:rPr>
          <w:rFonts w:asciiTheme="majorBidi" w:hAnsiTheme="majorBidi" w:cstheme="majorBidi"/>
          <w:sz w:val="24"/>
          <w:szCs w:val="24"/>
          <w:u w:val="single"/>
        </w:rPr>
        <w:t xml:space="preserve">. </w:t>
      </w:r>
      <w:hyperlink r:id="rId15" w:history="1">
        <w:r w:rsidR="009165E3" w:rsidRPr="00FC25BB">
          <w:rPr>
            <w:rStyle w:val="Hyperlink"/>
            <w:rFonts w:asciiTheme="majorBidi" w:hAnsiTheme="majorBidi" w:cstheme="majorBidi"/>
            <w:color w:val="auto"/>
            <w:sz w:val="24"/>
            <w:szCs w:val="24"/>
            <w:u w:val="none"/>
          </w:rPr>
          <w:t>Journal of Nephrology</w:t>
        </w:r>
      </w:hyperlink>
      <w:r w:rsidR="009165E3" w:rsidRPr="00FC25BB">
        <w:rPr>
          <w:rFonts w:asciiTheme="majorBidi" w:hAnsiTheme="majorBidi" w:cstheme="majorBidi"/>
          <w:sz w:val="24"/>
          <w:szCs w:val="24"/>
        </w:rPr>
        <w:t xml:space="preserve"> </w:t>
      </w:r>
      <w:r w:rsidR="009165E3" w:rsidRPr="00FC25BB">
        <w:rPr>
          <w:rStyle w:val="absnonlinkmetadata"/>
          <w:rFonts w:asciiTheme="majorBidi" w:hAnsiTheme="majorBidi" w:cstheme="majorBidi"/>
          <w:sz w:val="24"/>
          <w:szCs w:val="24"/>
        </w:rPr>
        <w:t>; 25(1):31-42.</w:t>
      </w:r>
    </w:p>
    <w:p w:rsidR="009165E3" w:rsidRPr="00FC25BB" w:rsidRDefault="00AA26A3" w:rsidP="00FC25BB">
      <w:pPr>
        <w:bidi w:val="0"/>
        <w:spacing w:after="0" w:line="240" w:lineRule="auto"/>
        <w:jc w:val="both"/>
        <w:rPr>
          <w:rFonts w:asciiTheme="majorBidi" w:hAnsiTheme="majorBidi" w:cstheme="majorBidi"/>
          <w:color w:val="000000" w:themeColor="text1"/>
          <w:sz w:val="24"/>
          <w:szCs w:val="24"/>
        </w:rPr>
      </w:pPr>
      <w:r w:rsidRPr="00FC25BB">
        <w:rPr>
          <w:rFonts w:asciiTheme="majorBidi" w:hAnsiTheme="majorBidi" w:cstheme="majorBidi"/>
          <w:sz w:val="24"/>
          <w:szCs w:val="24"/>
        </w:rPr>
        <w:t>14</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9165E3" w:rsidRPr="00FC25BB">
        <w:rPr>
          <w:rFonts w:asciiTheme="majorBidi" w:hAnsiTheme="majorBidi" w:cstheme="majorBidi"/>
          <w:sz w:val="24"/>
          <w:szCs w:val="24"/>
        </w:rPr>
        <w:t>Iglesias,P</w:t>
      </w:r>
      <w:proofErr w:type="spellEnd"/>
      <w:r w:rsidR="009165E3" w:rsidRPr="00FC25BB">
        <w:rPr>
          <w:rFonts w:asciiTheme="majorBidi" w:hAnsiTheme="majorBidi" w:cstheme="majorBidi"/>
          <w:sz w:val="24"/>
          <w:szCs w:val="24"/>
        </w:rPr>
        <w:t xml:space="preserve">. and  </w:t>
      </w:r>
      <w:proofErr w:type="spellStart"/>
      <w:r w:rsidR="009165E3" w:rsidRPr="00FC25BB">
        <w:rPr>
          <w:rFonts w:asciiTheme="majorBidi" w:hAnsiTheme="majorBidi" w:cstheme="majorBidi"/>
          <w:sz w:val="24"/>
          <w:szCs w:val="24"/>
        </w:rPr>
        <w:t>Dı´ez,J.J</w:t>
      </w:r>
      <w:proofErr w:type="spellEnd"/>
      <w:r w:rsidR="009165E3" w:rsidRPr="00FC25BB">
        <w:rPr>
          <w:rFonts w:asciiTheme="majorBidi" w:hAnsiTheme="majorBidi" w:cstheme="majorBidi"/>
          <w:sz w:val="24"/>
          <w:szCs w:val="24"/>
        </w:rPr>
        <w:t xml:space="preserve">.(2009). Thyroid dysfunction and kidney </w:t>
      </w:r>
      <w:r w:rsidR="009165E3" w:rsidRPr="00FC25BB">
        <w:rPr>
          <w:rFonts w:asciiTheme="majorBidi" w:hAnsiTheme="majorBidi" w:cstheme="majorBidi"/>
          <w:sz w:val="24"/>
          <w:szCs w:val="24"/>
        </w:rPr>
        <w:lastRenderedPageBreak/>
        <w:t>disease. European Journal of Endocrinology ; 160: 503–515.</w:t>
      </w:r>
    </w:p>
    <w:p w:rsidR="0038620E" w:rsidRPr="00FC25BB" w:rsidRDefault="00AA26A3" w:rsidP="00FC25BB">
      <w:pPr>
        <w:bidi w:val="0"/>
        <w:spacing w:after="0" w:line="240" w:lineRule="auto"/>
        <w:jc w:val="both"/>
        <w:rPr>
          <w:rFonts w:asciiTheme="majorBidi" w:eastAsia="Times New Roman" w:hAnsiTheme="majorBidi" w:cstheme="majorBidi"/>
          <w:sz w:val="24"/>
          <w:szCs w:val="24"/>
        </w:rPr>
      </w:pPr>
      <w:r w:rsidRPr="00FC25BB">
        <w:rPr>
          <w:rFonts w:asciiTheme="majorBidi" w:hAnsiTheme="majorBidi" w:cstheme="majorBidi"/>
          <w:sz w:val="24"/>
          <w:szCs w:val="24"/>
        </w:rPr>
        <w:t>15</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38620E" w:rsidRPr="00FC25BB">
        <w:rPr>
          <w:rFonts w:asciiTheme="majorBidi" w:hAnsiTheme="majorBidi" w:cstheme="majorBidi"/>
          <w:sz w:val="24"/>
          <w:szCs w:val="24"/>
        </w:rPr>
        <w:t>Karagiannis</w:t>
      </w:r>
      <w:proofErr w:type="spellEnd"/>
      <w:r w:rsidR="0038620E"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38620E" w:rsidRPr="00FC25BB">
        <w:rPr>
          <w:rFonts w:asciiTheme="majorBidi" w:hAnsiTheme="majorBidi" w:cstheme="majorBidi"/>
          <w:sz w:val="24"/>
          <w:szCs w:val="24"/>
        </w:rPr>
        <w:t xml:space="preserve">A. and  </w:t>
      </w:r>
      <w:proofErr w:type="spellStart"/>
      <w:r w:rsidR="0038620E" w:rsidRPr="00FC25BB">
        <w:rPr>
          <w:rFonts w:asciiTheme="majorBidi" w:hAnsiTheme="majorBidi" w:cstheme="majorBidi"/>
          <w:sz w:val="24"/>
          <w:szCs w:val="24"/>
        </w:rPr>
        <w:t>Harsoulis</w:t>
      </w:r>
      <w:proofErr w:type="spellEnd"/>
      <w:r w:rsidR="0038620E"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38620E" w:rsidRPr="00FC25BB">
        <w:rPr>
          <w:rFonts w:asciiTheme="majorBidi" w:hAnsiTheme="majorBidi" w:cstheme="majorBidi"/>
          <w:sz w:val="24"/>
          <w:szCs w:val="24"/>
        </w:rPr>
        <w:t>F.(2005). Gonadal dysfunction in systemic diseases. European Journal of Endocrinology ; 152: 501–513.</w:t>
      </w:r>
    </w:p>
    <w:p w:rsidR="0038620E"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16</w:t>
      </w:r>
      <w:r w:rsidR="003D4DA5">
        <w:rPr>
          <w:rFonts w:asciiTheme="majorBidi" w:hAnsiTheme="majorBidi" w:cstheme="majorBidi"/>
          <w:sz w:val="24"/>
          <w:szCs w:val="24"/>
        </w:rPr>
        <w:t xml:space="preserve">. </w:t>
      </w:r>
      <w:r w:rsidR="0038620E" w:rsidRPr="00FC25BB">
        <w:rPr>
          <w:rFonts w:asciiTheme="majorBidi" w:hAnsiTheme="majorBidi" w:cstheme="majorBidi"/>
          <w:sz w:val="24"/>
          <w:szCs w:val="24"/>
        </w:rPr>
        <w:t>Krishnan, A.V.&amp; Kiernan, M.</w:t>
      </w:r>
      <w:r w:rsidR="003D4DA5">
        <w:rPr>
          <w:rFonts w:asciiTheme="majorBidi" w:hAnsiTheme="majorBidi" w:cstheme="majorBidi"/>
          <w:sz w:val="24"/>
          <w:szCs w:val="24"/>
        </w:rPr>
        <w:t xml:space="preserve"> </w:t>
      </w:r>
      <w:r w:rsidR="0038620E" w:rsidRPr="00FC25BB">
        <w:rPr>
          <w:rFonts w:asciiTheme="majorBidi" w:hAnsiTheme="majorBidi" w:cstheme="majorBidi"/>
          <w:sz w:val="24"/>
          <w:szCs w:val="24"/>
        </w:rPr>
        <w:t>C.</w:t>
      </w:r>
      <w:r w:rsidR="003D4DA5">
        <w:rPr>
          <w:rFonts w:asciiTheme="majorBidi" w:hAnsiTheme="majorBidi" w:cstheme="majorBidi"/>
          <w:sz w:val="24"/>
          <w:szCs w:val="24"/>
        </w:rPr>
        <w:t xml:space="preserve"> </w:t>
      </w:r>
      <w:r w:rsidR="0038620E" w:rsidRPr="00FC25BB">
        <w:rPr>
          <w:rFonts w:asciiTheme="majorBidi" w:hAnsiTheme="majorBidi" w:cstheme="majorBidi"/>
          <w:sz w:val="24"/>
          <w:szCs w:val="24"/>
        </w:rPr>
        <w:t xml:space="preserve">(2007). Uremic neuropathy: clinical features and new pathophysiological insights. Muscle Nerve ;35:273–290 . </w:t>
      </w:r>
    </w:p>
    <w:p w:rsidR="0038620E"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eastAsia="Times New Roman" w:hAnsiTheme="majorBidi" w:cstheme="majorBidi"/>
          <w:sz w:val="24"/>
          <w:szCs w:val="24"/>
        </w:rPr>
        <w:t>17</w:t>
      </w:r>
      <w:r w:rsidR="00EC2C3B" w:rsidRPr="00FC25BB">
        <w:rPr>
          <w:rFonts w:asciiTheme="majorBidi" w:eastAsia="Times New Roman" w:hAnsiTheme="majorBidi" w:cstheme="majorBidi"/>
          <w:sz w:val="24"/>
          <w:szCs w:val="24"/>
        </w:rPr>
        <w:t>.</w:t>
      </w:r>
      <w:r w:rsidR="003D4DA5">
        <w:rPr>
          <w:rFonts w:asciiTheme="majorBidi" w:eastAsia="Times New Roman" w:hAnsiTheme="majorBidi" w:cstheme="majorBidi"/>
          <w:sz w:val="24"/>
          <w:szCs w:val="24"/>
        </w:rPr>
        <w:t xml:space="preserve"> </w:t>
      </w:r>
      <w:r w:rsidR="0038620E" w:rsidRPr="00FC25BB">
        <w:rPr>
          <w:rFonts w:asciiTheme="majorBidi" w:eastAsia="Times New Roman" w:hAnsiTheme="majorBidi" w:cstheme="majorBidi"/>
          <w:sz w:val="24"/>
          <w:szCs w:val="24"/>
        </w:rPr>
        <w:t xml:space="preserve">Levy A, Crowley T, </w:t>
      </w:r>
      <w:proofErr w:type="spellStart"/>
      <w:r w:rsidR="0038620E" w:rsidRPr="00FC25BB">
        <w:rPr>
          <w:rFonts w:asciiTheme="majorBidi" w:eastAsia="Times New Roman" w:hAnsiTheme="majorBidi" w:cstheme="majorBidi"/>
          <w:sz w:val="24"/>
          <w:szCs w:val="24"/>
        </w:rPr>
        <w:t>Gingell</w:t>
      </w:r>
      <w:proofErr w:type="spellEnd"/>
      <w:r w:rsidR="0038620E" w:rsidRPr="00FC25BB">
        <w:rPr>
          <w:rFonts w:asciiTheme="majorBidi" w:eastAsia="Times New Roman" w:hAnsiTheme="majorBidi" w:cstheme="majorBidi"/>
          <w:sz w:val="24"/>
          <w:szCs w:val="24"/>
        </w:rPr>
        <w:t xml:space="preserve"> C.(2000) .Non-surgical management of erectile dysfunction. </w:t>
      </w:r>
      <w:proofErr w:type="spellStart"/>
      <w:r w:rsidR="0038620E" w:rsidRPr="00FC25BB">
        <w:rPr>
          <w:rFonts w:asciiTheme="majorBidi" w:eastAsia="Times New Roman" w:hAnsiTheme="majorBidi" w:cstheme="majorBidi"/>
          <w:sz w:val="24"/>
          <w:szCs w:val="24"/>
        </w:rPr>
        <w:t>Clin</w:t>
      </w:r>
      <w:proofErr w:type="spellEnd"/>
      <w:r w:rsidR="0038620E" w:rsidRPr="00FC25BB">
        <w:rPr>
          <w:rFonts w:asciiTheme="majorBidi" w:eastAsia="Times New Roman" w:hAnsiTheme="majorBidi" w:cstheme="majorBidi"/>
          <w:sz w:val="24"/>
          <w:szCs w:val="24"/>
        </w:rPr>
        <w:t xml:space="preserve"> </w:t>
      </w:r>
      <w:proofErr w:type="spellStart"/>
      <w:r w:rsidR="0038620E" w:rsidRPr="00FC25BB">
        <w:rPr>
          <w:rFonts w:asciiTheme="majorBidi" w:eastAsia="Times New Roman" w:hAnsiTheme="majorBidi" w:cstheme="majorBidi"/>
          <w:sz w:val="24"/>
          <w:szCs w:val="24"/>
        </w:rPr>
        <w:t>Endocrinol</w:t>
      </w:r>
      <w:proofErr w:type="spellEnd"/>
      <w:r w:rsidR="0038620E" w:rsidRPr="00FC25BB">
        <w:rPr>
          <w:rFonts w:asciiTheme="majorBidi" w:eastAsia="Times New Roman" w:hAnsiTheme="majorBidi" w:cstheme="majorBidi"/>
          <w:sz w:val="24"/>
          <w:szCs w:val="24"/>
        </w:rPr>
        <w:t xml:space="preserve"> (</w:t>
      </w:r>
      <w:proofErr w:type="spellStart"/>
      <w:r w:rsidR="0038620E" w:rsidRPr="00FC25BB">
        <w:rPr>
          <w:rFonts w:asciiTheme="majorBidi" w:eastAsia="Times New Roman" w:hAnsiTheme="majorBidi" w:cstheme="majorBidi"/>
          <w:sz w:val="24"/>
          <w:szCs w:val="24"/>
        </w:rPr>
        <w:t>Oxf</w:t>
      </w:r>
      <w:proofErr w:type="spellEnd"/>
      <w:r w:rsidR="0038620E" w:rsidRPr="00FC25BB">
        <w:rPr>
          <w:rFonts w:asciiTheme="majorBidi" w:eastAsia="Times New Roman" w:hAnsiTheme="majorBidi" w:cstheme="majorBidi"/>
          <w:sz w:val="24"/>
          <w:szCs w:val="24"/>
        </w:rPr>
        <w:t>) ;52:253–60.</w:t>
      </w:r>
    </w:p>
    <w:p w:rsidR="0038620E"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18</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38620E" w:rsidRPr="00FC25BB">
        <w:rPr>
          <w:rFonts w:asciiTheme="majorBidi" w:hAnsiTheme="majorBidi" w:cstheme="majorBidi"/>
          <w:sz w:val="24"/>
          <w:szCs w:val="24"/>
        </w:rPr>
        <w:t>Levey</w:t>
      </w:r>
      <w:proofErr w:type="spellEnd"/>
      <w:r w:rsidR="003D4DA5">
        <w:rPr>
          <w:rFonts w:asciiTheme="majorBidi" w:hAnsiTheme="majorBidi" w:cstheme="majorBidi"/>
          <w:sz w:val="24"/>
          <w:szCs w:val="24"/>
        </w:rPr>
        <w:t xml:space="preserve">, A. S. ;Atkins, R.; </w:t>
      </w:r>
      <w:proofErr w:type="spellStart"/>
      <w:r w:rsidR="003D4DA5">
        <w:rPr>
          <w:rFonts w:asciiTheme="majorBidi" w:hAnsiTheme="majorBidi" w:cstheme="majorBidi"/>
          <w:sz w:val="24"/>
          <w:szCs w:val="24"/>
        </w:rPr>
        <w:t>Coresh</w:t>
      </w:r>
      <w:proofErr w:type="spellEnd"/>
      <w:r w:rsidR="003D4DA5">
        <w:rPr>
          <w:rFonts w:asciiTheme="majorBidi" w:hAnsiTheme="majorBidi" w:cstheme="majorBidi"/>
          <w:sz w:val="24"/>
          <w:szCs w:val="24"/>
        </w:rPr>
        <w:t>, J.</w:t>
      </w:r>
      <w:r w:rsidR="0038620E"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38620E" w:rsidRPr="00FC25BB">
        <w:rPr>
          <w:rFonts w:asciiTheme="majorBidi" w:hAnsiTheme="majorBidi" w:cstheme="majorBidi"/>
          <w:sz w:val="24"/>
          <w:szCs w:val="24"/>
        </w:rPr>
        <w:t>Cohen, E. P. ;Collins, K-U A. J. ;</w:t>
      </w:r>
      <w:r w:rsidR="003D4DA5">
        <w:rPr>
          <w:rFonts w:asciiTheme="majorBidi" w:hAnsiTheme="majorBidi" w:cstheme="majorBidi"/>
          <w:sz w:val="24"/>
          <w:szCs w:val="24"/>
        </w:rPr>
        <w:t xml:space="preserve"> </w:t>
      </w:r>
      <w:proofErr w:type="spellStart"/>
      <w:r w:rsidR="0038620E" w:rsidRPr="00FC25BB">
        <w:rPr>
          <w:rFonts w:asciiTheme="majorBidi" w:hAnsiTheme="majorBidi" w:cstheme="majorBidi"/>
          <w:sz w:val="24"/>
          <w:szCs w:val="24"/>
        </w:rPr>
        <w:t>Eckardt</w:t>
      </w:r>
      <w:proofErr w:type="spellEnd"/>
      <w:r w:rsidR="0038620E" w:rsidRPr="00FC25BB">
        <w:rPr>
          <w:rFonts w:asciiTheme="majorBidi" w:hAnsiTheme="majorBidi" w:cstheme="majorBidi"/>
          <w:sz w:val="24"/>
          <w:szCs w:val="24"/>
        </w:rPr>
        <w:t>, M. E. ;</w:t>
      </w:r>
      <w:proofErr w:type="spellStart"/>
      <w:r w:rsidR="0038620E" w:rsidRPr="00FC25BB">
        <w:rPr>
          <w:rFonts w:asciiTheme="majorBidi" w:hAnsiTheme="majorBidi" w:cstheme="majorBidi"/>
          <w:sz w:val="24"/>
          <w:szCs w:val="24"/>
        </w:rPr>
        <w:t>Nahas</w:t>
      </w:r>
      <w:proofErr w:type="spellEnd"/>
      <w:r w:rsidR="0038620E" w:rsidRPr="00FC25BB">
        <w:rPr>
          <w:rFonts w:asciiTheme="majorBidi" w:hAnsiTheme="majorBidi" w:cstheme="majorBidi"/>
          <w:sz w:val="24"/>
          <w:szCs w:val="24"/>
        </w:rPr>
        <w:t xml:space="preserve">, B. L. ; </w:t>
      </w:r>
      <w:proofErr w:type="spellStart"/>
      <w:r w:rsidR="0038620E" w:rsidRPr="00FC25BB">
        <w:rPr>
          <w:rFonts w:asciiTheme="majorBidi" w:hAnsiTheme="majorBidi" w:cstheme="majorBidi"/>
          <w:sz w:val="24"/>
          <w:szCs w:val="24"/>
        </w:rPr>
        <w:t>Jaber</w:t>
      </w:r>
      <w:proofErr w:type="spellEnd"/>
      <w:r w:rsidR="0038620E" w:rsidRPr="00FC25BB">
        <w:rPr>
          <w:rFonts w:asciiTheme="majorBidi" w:hAnsiTheme="majorBidi" w:cstheme="majorBidi"/>
          <w:sz w:val="24"/>
          <w:szCs w:val="24"/>
        </w:rPr>
        <w:t xml:space="preserve">, M. </w:t>
      </w:r>
      <w:proofErr w:type="spellStart"/>
      <w:r w:rsidR="0038620E" w:rsidRPr="00FC25BB">
        <w:rPr>
          <w:rFonts w:asciiTheme="majorBidi" w:hAnsiTheme="majorBidi" w:cstheme="majorBidi"/>
          <w:sz w:val="24"/>
          <w:szCs w:val="24"/>
        </w:rPr>
        <w:t>Jadoul</w:t>
      </w:r>
      <w:proofErr w:type="spellEnd"/>
      <w:r w:rsidR="0038620E" w:rsidRPr="00FC25BB">
        <w:rPr>
          <w:rFonts w:asciiTheme="majorBidi" w:hAnsiTheme="majorBidi" w:cstheme="majorBidi"/>
          <w:sz w:val="24"/>
          <w:szCs w:val="24"/>
        </w:rPr>
        <w:t xml:space="preserve">, A. ; Levin, N. R. ; </w:t>
      </w:r>
      <w:proofErr w:type="spellStart"/>
      <w:r w:rsidR="0038620E" w:rsidRPr="00FC25BB">
        <w:rPr>
          <w:rFonts w:asciiTheme="majorBidi" w:hAnsiTheme="majorBidi" w:cstheme="majorBidi"/>
          <w:sz w:val="24"/>
          <w:szCs w:val="24"/>
        </w:rPr>
        <w:t>Powe</w:t>
      </w:r>
      <w:proofErr w:type="spellEnd"/>
      <w:r w:rsidR="0038620E" w:rsidRPr="00FC25BB">
        <w:rPr>
          <w:rFonts w:asciiTheme="majorBidi" w:hAnsiTheme="majorBidi" w:cstheme="majorBidi"/>
          <w:sz w:val="24"/>
          <w:szCs w:val="24"/>
        </w:rPr>
        <w:t xml:space="preserve">, </w:t>
      </w:r>
      <w:proofErr w:type="spellStart"/>
      <w:r w:rsidR="0038620E" w:rsidRPr="00FC25BB">
        <w:rPr>
          <w:rFonts w:asciiTheme="majorBidi" w:hAnsiTheme="majorBidi" w:cstheme="majorBidi"/>
          <w:sz w:val="24"/>
          <w:szCs w:val="24"/>
        </w:rPr>
        <w:t>Rossert</w:t>
      </w:r>
      <w:proofErr w:type="spellEnd"/>
      <w:r w:rsidR="0038620E" w:rsidRPr="00FC25BB">
        <w:rPr>
          <w:rFonts w:asciiTheme="majorBidi" w:hAnsiTheme="majorBidi" w:cstheme="majorBidi"/>
          <w:sz w:val="24"/>
          <w:szCs w:val="24"/>
        </w:rPr>
        <w:t xml:space="preserve">, J. Wheeler, D. C.  </w:t>
      </w:r>
      <w:proofErr w:type="spellStart"/>
      <w:r w:rsidR="0038620E" w:rsidRPr="00FC25BB">
        <w:rPr>
          <w:rFonts w:asciiTheme="majorBidi" w:hAnsiTheme="majorBidi" w:cstheme="majorBidi"/>
          <w:sz w:val="24"/>
          <w:szCs w:val="24"/>
        </w:rPr>
        <w:t>Lameire</w:t>
      </w:r>
      <w:proofErr w:type="spellEnd"/>
      <w:r w:rsidR="0038620E" w:rsidRPr="00FC25BB">
        <w:rPr>
          <w:rFonts w:asciiTheme="majorBidi" w:hAnsiTheme="majorBidi" w:cstheme="majorBidi"/>
          <w:sz w:val="24"/>
          <w:szCs w:val="24"/>
        </w:rPr>
        <w:t xml:space="preserve">,  E.  &amp; </w:t>
      </w:r>
      <w:proofErr w:type="spellStart"/>
      <w:r w:rsidR="0038620E" w:rsidRPr="00FC25BB">
        <w:rPr>
          <w:rFonts w:asciiTheme="majorBidi" w:hAnsiTheme="majorBidi" w:cstheme="majorBidi"/>
          <w:sz w:val="24"/>
          <w:szCs w:val="24"/>
        </w:rPr>
        <w:t>knoyanet,G</w:t>
      </w:r>
      <w:proofErr w:type="spellEnd"/>
      <w:r w:rsidR="0038620E" w:rsidRPr="00FC25BB">
        <w:rPr>
          <w:rFonts w:asciiTheme="majorBidi" w:hAnsiTheme="majorBidi" w:cstheme="majorBidi"/>
          <w:sz w:val="24"/>
          <w:szCs w:val="24"/>
        </w:rPr>
        <w:t xml:space="preserve"> . (2007). "Chronic kidney disease as a global public health problem: approaches and initiatives - a position statement from Kidney </w:t>
      </w:r>
      <w:proofErr w:type="spellStart"/>
      <w:r w:rsidR="0038620E" w:rsidRPr="00FC25BB">
        <w:rPr>
          <w:rFonts w:asciiTheme="majorBidi" w:hAnsiTheme="majorBidi" w:cstheme="majorBidi"/>
          <w:sz w:val="24"/>
          <w:szCs w:val="24"/>
        </w:rPr>
        <w:t>DiseaseImproving</w:t>
      </w:r>
      <w:proofErr w:type="spellEnd"/>
      <w:r w:rsidR="0038620E" w:rsidRPr="00FC25BB">
        <w:rPr>
          <w:rFonts w:asciiTheme="majorBidi" w:hAnsiTheme="majorBidi" w:cstheme="majorBidi"/>
          <w:sz w:val="24"/>
          <w:szCs w:val="24"/>
        </w:rPr>
        <w:t xml:space="preserve"> Global Outcomes." Kidney </w:t>
      </w:r>
      <w:proofErr w:type="spellStart"/>
      <w:r w:rsidR="0038620E" w:rsidRPr="00FC25BB">
        <w:rPr>
          <w:rFonts w:asciiTheme="majorBidi" w:hAnsiTheme="majorBidi" w:cstheme="majorBidi"/>
          <w:sz w:val="24"/>
          <w:szCs w:val="24"/>
        </w:rPr>
        <w:t>Int</w:t>
      </w:r>
      <w:proofErr w:type="spellEnd"/>
      <w:r w:rsidR="0038620E" w:rsidRPr="00FC25BB">
        <w:rPr>
          <w:rFonts w:asciiTheme="majorBidi" w:hAnsiTheme="majorBidi" w:cstheme="majorBidi"/>
          <w:sz w:val="24"/>
          <w:szCs w:val="24"/>
        </w:rPr>
        <w:t xml:space="preserve"> ;72(3): 247-259.</w:t>
      </w:r>
    </w:p>
    <w:p w:rsidR="0038620E"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19</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38620E" w:rsidRPr="00FC25BB">
        <w:rPr>
          <w:rFonts w:asciiTheme="majorBidi" w:hAnsiTheme="majorBidi" w:cstheme="majorBidi"/>
          <w:sz w:val="24"/>
          <w:szCs w:val="24"/>
        </w:rPr>
        <w:t>Mart</w:t>
      </w:r>
      <w:r w:rsidR="003D4DA5">
        <w:rPr>
          <w:rFonts w:asciiTheme="majorBidi" w:hAnsiTheme="majorBidi" w:cstheme="majorBidi"/>
          <w:sz w:val="24"/>
          <w:szCs w:val="24"/>
        </w:rPr>
        <w:t xml:space="preserve">in , C. </w:t>
      </w:r>
      <w:proofErr w:type="spellStart"/>
      <w:r w:rsidR="003D4DA5">
        <w:rPr>
          <w:rFonts w:asciiTheme="majorBidi" w:hAnsiTheme="majorBidi" w:cstheme="majorBidi"/>
          <w:sz w:val="24"/>
          <w:szCs w:val="24"/>
        </w:rPr>
        <w:t>L.;Albers</w:t>
      </w:r>
      <w:proofErr w:type="spellEnd"/>
      <w:r w:rsidR="003D4DA5">
        <w:rPr>
          <w:rFonts w:asciiTheme="majorBidi" w:hAnsiTheme="majorBidi" w:cstheme="majorBidi"/>
          <w:sz w:val="24"/>
          <w:szCs w:val="24"/>
        </w:rPr>
        <w:t xml:space="preserve"> , J .&amp; Herman</w:t>
      </w:r>
      <w:r w:rsidR="0038620E"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38620E" w:rsidRPr="00FC25BB">
        <w:rPr>
          <w:rFonts w:asciiTheme="majorBidi" w:hAnsiTheme="majorBidi" w:cstheme="majorBidi"/>
          <w:sz w:val="24"/>
          <w:szCs w:val="24"/>
        </w:rPr>
        <w:t xml:space="preserve">W.H.(2006). Neuropathy among </w:t>
      </w:r>
      <w:proofErr w:type="spellStart"/>
      <w:r w:rsidR="0038620E" w:rsidRPr="00FC25BB">
        <w:rPr>
          <w:rFonts w:asciiTheme="majorBidi" w:hAnsiTheme="majorBidi" w:cstheme="majorBidi"/>
          <w:sz w:val="24"/>
          <w:szCs w:val="24"/>
        </w:rPr>
        <w:t>thediabetes</w:t>
      </w:r>
      <w:proofErr w:type="spellEnd"/>
      <w:r w:rsidR="0038620E" w:rsidRPr="00FC25BB">
        <w:rPr>
          <w:rFonts w:asciiTheme="majorBidi" w:hAnsiTheme="majorBidi" w:cstheme="majorBidi"/>
          <w:sz w:val="24"/>
          <w:szCs w:val="24"/>
        </w:rPr>
        <w:t xml:space="preserve"> control and complications trial cohort 8 years after trial completion. Diabetes Care ; 29 :340–344.</w:t>
      </w:r>
    </w:p>
    <w:p w:rsidR="0038620E"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color w:val="231F20"/>
          <w:sz w:val="24"/>
          <w:szCs w:val="24"/>
        </w:rPr>
        <w:t>20</w:t>
      </w:r>
      <w:r w:rsidR="00EC2C3B" w:rsidRPr="00FC25BB">
        <w:rPr>
          <w:rFonts w:asciiTheme="majorBidi" w:hAnsiTheme="majorBidi" w:cstheme="majorBidi"/>
          <w:color w:val="231F20"/>
          <w:sz w:val="24"/>
          <w:szCs w:val="24"/>
        </w:rPr>
        <w:t>.</w:t>
      </w:r>
      <w:r w:rsidR="003D4DA5">
        <w:rPr>
          <w:rFonts w:asciiTheme="majorBidi" w:hAnsiTheme="majorBidi" w:cstheme="majorBidi"/>
          <w:color w:val="231F20"/>
          <w:sz w:val="24"/>
          <w:szCs w:val="24"/>
        </w:rPr>
        <w:t xml:space="preserve"> </w:t>
      </w:r>
      <w:r w:rsidR="0038620E" w:rsidRPr="00FC25BB">
        <w:rPr>
          <w:rFonts w:asciiTheme="majorBidi" w:hAnsiTheme="majorBidi" w:cstheme="majorBidi"/>
          <w:color w:val="231F20"/>
          <w:sz w:val="24"/>
          <w:szCs w:val="24"/>
        </w:rPr>
        <w:t xml:space="preserve">McClellan, W.M. &amp;  </w:t>
      </w:r>
      <w:proofErr w:type="spellStart"/>
      <w:r w:rsidR="0038620E" w:rsidRPr="00FC25BB">
        <w:rPr>
          <w:rFonts w:asciiTheme="majorBidi" w:hAnsiTheme="majorBidi" w:cstheme="majorBidi"/>
          <w:color w:val="231F20"/>
          <w:sz w:val="24"/>
          <w:szCs w:val="24"/>
        </w:rPr>
        <w:t>Powe</w:t>
      </w:r>
      <w:proofErr w:type="spellEnd"/>
      <w:r w:rsidR="0038620E" w:rsidRPr="00FC25BB">
        <w:rPr>
          <w:rFonts w:asciiTheme="majorBidi" w:hAnsiTheme="majorBidi" w:cstheme="majorBidi"/>
          <w:color w:val="231F20"/>
          <w:sz w:val="24"/>
          <w:szCs w:val="24"/>
        </w:rPr>
        <w:t>, N.R. (2009). Introduction to the Proceedings of a Centers for Disease Control and</w:t>
      </w:r>
      <w:r w:rsidR="003D4DA5">
        <w:rPr>
          <w:rFonts w:asciiTheme="majorBidi" w:hAnsiTheme="majorBidi" w:cstheme="majorBidi"/>
          <w:color w:val="231F20"/>
          <w:sz w:val="24"/>
          <w:szCs w:val="24"/>
        </w:rPr>
        <w:t xml:space="preserve"> </w:t>
      </w:r>
      <w:r w:rsidR="0038620E" w:rsidRPr="00FC25BB">
        <w:rPr>
          <w:rFonts w:asciiTheme="majorBidi" w:hAnsiTheme="majorBidi" w:cstheme="majorBidi"/>
          <w:color w:val="231F20"/>
          <w:sz w:val="24"/>
          <w:szCs w:val="24"/>
        </w:rPr>
        <w:t>Prevention Expert Panel Workshop: Developing a Comprehensive Public Health Strategy for Preventing the Development, Progression, and  Complications of CKD</w:t>
      </w:r>
      <w:r w:rsidR="0038620E" w:rsidRPr="00FC25BB">
        <w:rPr>
          <w:rFonts w:asciiTheme="majorBidi" w:hAnsiTheme="majorBidi" w:cstheme="majorBidi"/>
          <w:sz w:val="24"/>
          <w:szCs w:val="24"/>
        </w:rPr>
        <w:t xml:space="preserve"> .American Journal of Kidney Diseases,;  53(3):  pp S1-S3.</w:t>
      </w:r>
    </w:p>
    <w:p w:rsidR="001C2614"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21</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1C2614" w:rsidRPr="00FC25BB">
        <w:rPr>
          <w:rFonts w:asciiTheme="majorBidi" w:hAnsiTheme="majorBidi" w:cstheme="majorBidi"/>
          <w:sz w:val="24"/>
          <w:szCs w:val="24"/>
        </w:rPr>
        <w:t xml:space="preserve">Messina ,L.E. ;Claro, J.A.; </w:t>
      </w:r>
      <w:proofErr w:type="spellStart"/>
      <w:r w:rsidR="001C2614" w:rsidRPr="00FC25BB">
        <w:rPr>
          <w:rFonts w:asciiTheme="majorBidi" w:hAnsiTheme="majorBidi" w:cstheme="majorBidi"/>
          <w:sz w:val="24"/>
          <w:szCs w:val="24"/>
        </w:rPr>
        <w:t>Nardozza</w:t>
      </w:r>
      <w:proofErr w:type="spellEnd"/>
      <w:r w:rsidR="001C2614" w:rsidRPr="00FC25BB">
        <w:rPr>
          <w:rFonts w:asciiTheme="majorBidi" w:hAnsiTheme="majorBidi" w:cstheme="majorBidi"/>
          <w:sz w:val="24"/>
          <w:szCs w:val="24"/>
        </w:rPr>
        <w:t xml:space="preserve"> ,A.;  </w:t>
      </w:r>
      <w:proofErr w:type="spellStart"/>
      <w:r w:rsidR="001C2614" w:rsidRPr="00FC25BB">
        <w:rPr>
          <w:rFonts w:asciiTheme="majorBidi" w:hAnsiTheme="majorBidi" w:cstheme="majorBidi"/>
          <w:sz w:val="24"/>
          <w:szCs w:val="24"/>
        </w:rPr>
        <w:t>Andrade,E</w:t>
      </w:r>
      <w:proofErr w:type="spellEnd"/>
      <w:r w:rsidR="001C2614" w:rsidRPr="00FC25BB">
        <w:rPr>
          <w:rFonts w:asciiTheme="majorBidi" w:hAnsiTheme="majorBidi" w:cstheme="majorBidi"/>
          <w:sz w:val="24"/>
          <w:szCs w:val="24"/>
        </w:rPr>
        <w:t xml:space="preserve">; Ortiz ,V.;&amp; </w:t>
      </w:r>
      <w:proofErr w:type="spellStart"/>
      <w:r w:rsidR="001C2614" w:rsidRPr="00FC25BB">
        <w:rPr>
          <w:rFonts w:asciiTheme="majorBidi" w:hAnsiTheme="majorBidi" w:cstheme="majorBidi"/>
          <w:sz w:val="24"/>
          <w:szCs w:val="24"/>
        </w:rPr>
        <w:t>Srougi,M</w:t>
      </w:r>
      <w:proofErr w:type="spellEnd"/>
      <w:r w:rsidR="001C2614" w:rsidRPr="00FC25BB">
        <w:rPr>
          <w:rFonts w:asciiTheme="majorBidi" w:hAnsiTheme="majorBidi" w:cstheme="majorBidi"/>
          <w:sz w:val="24"/>
          <w:szCs w:val="24"/>
        </w:rPr>
        <w:t xml:space="preserve">.(2007). Erectile dysfunction in patients with chronic renal failure. </w:t>
      </w:r>
      <w:proofErr w:type="spellStart"/>
      <w:r w:rsidR="001C2614" w:rsidRPr="00FC25BB">
        <w:rPr>
          <w:rFonts w:asciiTheme="majorBidi" w:hAnsiTheme="majorBidi" w:cstheme="majorBidi"/>
          <w:sz w:val="24"/>
          <w:szCs w:val="24"/>
        </w:rPr>
        <w:t>Int</w:t>
      </w:r>
      <w:proofErr w:type="spellEnd"/>
      <w:r w:rsidR="001C2614" w:rsidRPr="00FC25BB">
        <w:rPr>
          <w:rFonts w:asciiTheme="majorBidi" w:hAnsiTheme="majorBidi" w:cstheme="majorBidi"/>
          <w:sz w:val="24"/>
          <w:szCs w:val="24"/>
        </w:rPr>
        <w:t xml:space="preserve"> </w:t>
      </w:r>
      <w:proofErr w:type="spellStart"/>
      <w:r w:rsidR="001C2614" w:rsidRPr="00FC25BB">
        <w:rPr>
          <w:rFonts w:asciiTheme="majorBidi" w:hAnsiTheme="majorBidi" w:cstheme="majorBidi"/>
          <w:sz w:val="24"/>
          <w:szCs w:val="24"/>
        </w:rPr>
        <w:t>Braz</w:t>
      </w:r>
      <w:proofErr w:type="spellEnd"/>
      <w:r w:rsidR="001C2614" w:rsidRPr="00FC25BB">
        <w:rPr>
          <w:rFonts w:asciiTheme="majorBidi" w:hAnsiTheme="majorBidi" w:cstheme="majorBidi"/>
          <w:sz w:val="24"/>
          <w:szCs w:val="24"/>
        </w:rPr>
        <w:t xml:space="preserve"> J </w:t>
      </w:r>
      <w:proofErr w:type="spellStart"/>
      <w:r w:rsidR="001C2614" w:rsidRPr="00FC25BB">
        <w:rPr>
          <w:rFonts w:asciiTheme="majorBidi" w:hAnsiTheme="majorBidi" w:cstheme="majorBidi"/>
          <w:sz w:val="24"/>
          <w:szCs w:val="24"/>
        </w:rPr>
        <w:t>Urol</w:t>
      </w:r>
      <w:proofErr w:type="spellEnd"/>
      <w:r w:rsidR="001C2614" w:rsidRPr="00FC25BB">
        <w:rPr>
          <w:rFonts w:asciiTheme="majorBidi" w:hAnsiTheme="majorBidi" w:cstheme="majorBidi"/>
          <w:sz w:val="24"/>
          <w:szCs w:val="24"/>
        </w:rPr>
        <w:t>,; 33: 673-678.</w:t>
      </w:r>
    </w:p>
    <w:p w:rsidR="001C2614"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22</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EC2C3B" w:rsidRPr="00FC25BB">
        <w:rPr>
          <w:rFonts w:asciiTheme="majorBidi" w:hAnsiTheme="majorBidi" w:cstheme="majorBidi"/>
          <w:sz w:val="24"/>
          <w:szCs w:val="24"/>
        </w:rPr>
        <w:t>Niemczyk</w:t>
      </w:r>
      <w:proofErr w:type="spellEnd"/>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EC2C3B" w:rsidRPr="00FC25BB">
        <w:rPr>
          <w:rFonts w:asciiTheme="majorBidi" w:hAnsiTheme="majorBidi" w:cstheme="majorBidi"/>
          <w:sz w:val="24"/>
          <w:szCs w:val="24"/>
        </w:rPr>
        <w:t xml:space="preserve">S; </w:t>
      </w:r>
      <w:proofErr w:type="spellStart"/>
      <w:r w:rsidR="00EC2C3B" w:rsidRPr="00FC25BB">
        <w:rPr>
          <w:rFonts w:asciiTheme="majorBidi" w:hAnsiTheme="majorBidi" w:cstheme="majorBidi"/>
          <w:sz w:val="24"/>
          <w:szCs w:val="24"/>
        </w:rPr>
        <w:t>Niemczyk</w:t>
      </w:r>
      <w:proofErr w:type="spellEnd"/>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EC2C3B" w:rsidRPr="00FC25BB">
        <w:rPr>
          <w:rFonts w:asciiTheme="majorBidi" w:hAnsiTheme="majorBidi" w:cstheme="majorBidi"/>
          <w:sz w:val="24"/>
          <w:szCs w:val="24"/>
        </w:rPr>
        <w:t>L</w:t>
      </w:r>
      <w:r w:rsidR="003D4DA5">
        <w:rPr>
          <w:rFonts w:asciiTheme="majorBidi" w:hAnsiTheme="majorBidi" w:cstheme="majorBidi"/>
          <w:sz w:val="24"/>
          <w:szCs w:val="24"/>
        </w:rPr>
        <w:t xml:space="preserve"> </w:t>
      </w:r>
      <w:r w:rsidR="00EC2C3B" w:rsidRPr="00FC25BB">
        <w:rPr>
          <w:rFonts w:asciiTheme="majorBidi" w:hAnsiTheme="majorBidi" w:cstheme="majorBidi"/>
          <w:sz w:val="24"/>
          <w:szCs w:val="24"/>
        </w:rPr>
        <w:t xml:space="preserve">&amp; </w:t>
      </w:r>
      <w:proofErr w:type="spellStart"/>
      <w:r w:rsidR="001C2614" w:rsidRPr="00FC25BB">
        <w:rPr>
          <w:rFonts w:asciiTheme="majorBidi" w:hAnsiTheme="majorBidi" w:cstheme="majorBidi"/>
          <w:sz w:val="24"/>
          <w:szCs w:val="24"/>
        </w:rPr>
        <w:t>Romejko</w:t>
      </w:r>
      <w:proofErr w:type="spellEnd"/>
      <w:r w:rsidR="003D4DA5">
        <w:rPr>
          <w:rFonts w:asciiTheme="majorBidi" w:hAnsiTheme="majorBidi" w:cstheme="majorBidi"/>
          <w:sz w:val="24"/>
          <w:szCs w:val="24"/>
        </w:rPr>
        <w:t xml:space="preserve"> </w:t>
      </w:r>
      <w:r w:rsidR="001C2614" w:rsidRPr="00FC25BB">
        <w:rPr>
          <w:rFonts w:asciiTheme="majorBidi" w:hAnsiTheme="majorBidi" w:cstheme="majorBidi"/>
          <w:sz w:val="24"/>
          <w:szCs w:val="24"/>
        </w:rPr>
        <w:t>-</w:t>
      </w:r>
      <w:proofErr w:type="spellStart"/>
      <w:r w:rsidR="001C2614" w:rsidRPr="00FC25BB">
        <w:rPr>
          <w:rFonts w:asciiTheme="majorBidi" w:hAnsiTheme="majorBidi" w:cstheme="majorBidi"/>
          <w:sz w:val="24"/>
          <w:szCs w:val="24"/>
        </w:rPr>
        <w:t>Ciepielewska,K</w:t>
      </w:r>
      <w:proofErr w:type="spellEnd"/>
      <w:r w:rsidR="001C2614" w:rsidRPr="00FC25BB">
        <w:rPr>
          <w:rFonts w:asciiTheme="majorBidi" w:hAnsiTheme="majorBidi" w:cstheme="majorBidi"/>
          <w:sz w:val="24"/>
          <w:szCs w:val="24"/>
        </w:rPr>
        <w:t xml:space="preserve">.(2012). Basic </w:t>
      </w:r>
      <w:proofErr w:type="spellStart"/>
      <w:r w:rsidR="001C2614" w:rsidRPr="00FC25BB">
        <w:rPr>
          <w:rFonts w:asciiTheme="majorBidi" w:hAnsiTheme="majorBidi" w:cstheme="majorBidi"/>
          <w:sz w:val="24"/>
          <w:szCs w:val="24"/>
        </w:rPr>
        <w:t>endocrinological</w:t>
      </w:r>
      <w:proofErr w:type="spellEnd"/>
      <w:r w:rsidR="001C2614" w:rsidRPr="00FC25BB">
        <w:rPr>
          <w:rFonts w:asciiTheme="majorBidi" w:hAnsiTheme="majorBidi" w:cstheme="majorBidi"/>
          <w:sz w:val="24"/>
          <w:szCs w:val="24"/>
        </w:rPr>
        <w:t xml:space="preserve"> disorders in </w:t>
      </w:r>
      <w:r w:rsidR="001C2614" w:rsidRPr="00FC25BB">
        <w:rPr>
          <w:rFonts w:asciiTheme="majorBidi" w:hAnsiTheme="majorBidi" w:cstheme="majorBidi"/>
          <w:sz w:val="24"/>
          <w:szCs w:val="24"/>
        </w:rPr>
        <w:lastRenderedPageBreak/>
        <w:t xml:space="preserve">chronic renal failure. </w:t>
      </w:r>
      <w:proofErr w:type="spellStart"/>
      <w:r w:rsidR="001C2614" w:rsidRPr="00FC25BB">
        <w:rPr>
          <w:rFonts w:asciiTheme="majorBidi" w:hAnsiTheme="majorBidi" w:cstheme="majorBidi"/>
          <w:sz w:val="24"/>
          <w:szCs w:val="24"/>
        </w:rPr>
        <w:t>Endokrynol</w:t>
      </w:r>
      <w:proofErr w:type="spellEnd"/>
      <w:r w:rsidR="001C2614" w:rsidRPr="00FC25BB">
        <w:rPr>
          <w:rFonts w:asciiTheme="majorBidi" w:hAnsiTheme="majorBidi" w:cstheme="majorBidi"/>
          <w:sz w:val="24"/>
          <w:szCs w:val="24"/>
        </w:rPr>
        <w:t xml:space="preserve"> </w:t>
      </w:r>
      <w:proofErr w:type="spellStart"/>
      <w:r w:rsidR="001C2614" w:rsidRPr="00FC25BB">
        <w:rPr>
          <w:rFonts w:asciiTheme="majorBidi" w:hAnsiTheme="majorBidi" w:cstheme="majorBidi"/>
          <w:sz w:val="24"/>
          <w:szCs w:val="24"/>
        </w:rPr>
        <w:t>Pol</w:t>
      </w:r>
      <w:proofErr w:type="spellEnd"/>
      <w:r w:rsidR="001C2614" w:rsidRPr="00FC25BB">
        <w:rPr>
          <w:rFonts w:asciiTheme="majorBidi" w:hAnsiTheme="majorBidi" w:cstheme="majorBidi"/>
          <w:sz w:val="24"/>
          <w:szCs w:val="24"/>
        </w:rPr>
        <w:t xml:space="preserve"> ; 63 (3): 250–257.</w:t>
      </w:r>
    </w:p>
    <w:p w:rsidR="001D2BB3"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23</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1D2BB3" w:rsidRPr="00FC25BB">
        <w:rPr>
          <w:rFonts w:asciiTheme="majorBidi" w:hAnsiTheme="majorBidi" w:cstheme="majorBidi"/>
          <w:sz w:val="24"/>
          <w:szCs w:val="24"/>
        </w:rPr>
        <w:t>Palmer, BF. (2003). Sexual dysfunction in men and women with chronic kidney disease and end-stage kidney disease. Adv Renal Rep Therapy;  10 (1): pp. 48-60.</w:t>
      </w:r>
    </w:p>
    <w:p w:rsidR="00AC5FF9" w:rsidRPr="00FC25BB" w:rsidRDefault="00831109" w:rsidP="00FC25BB">
      <w:pPr>
        <w:bidi w:val="0"/>
        <w:spacing w:after="0" w:line="240" w:lineRule="auto"/>
        <w:jc w:val="both"/>
        <w:rPr>
          <w:rFonts w:asciiTheme="majorBidi" w:eastAsia="Times New Roman" w:hAnsiTheme="majorBidi" w:cstheme="majorBidi"/>
          <w:sz w:val="24"/>
          <w:szCs w:val="24"/>
        </w:rPr>
      </w:pPr>
      <w:r w:rsidRPr="00FC25BB">
        <w:rPr>
          <w:rFonts w:asciiTheme="majorBidi" w:eastAsia="Times New Roman" w:hAnsiTheme="majorBidi" w:cstheme="majorBidi"/>
          <w:sz w:val="24"/>
          <w:szCs w:val="24"/>
        </w:rPr>
        <w:t>24</w:t>
      </w:r>
      <w:r w:rsidR="00EC2C3B" w:rsidRPr="00FC25BB">
        <w:rPr>
          <w:rFonts w:asciiTheme="majorBidi" w:eastAsia="Times New Roman" w:hAnsiTheme="majorBidi" w:cstheme="majorBidi"/>
          <w:sz w:val="24"/>
          <w:szCs w:val="24"/>
        </w:rPr>
        <w:t>.</w:t>
      </w:r>
      <w:r w:rsidR="003D4DA5">
        <w:rPr>
          <w:rFonts w:asciiTheme="majorBidi" w:eastAsia="Times New Roman" w:hAnsiTheme="majorBidi" w:cstheme="majorBidi"/>
          <w:sz w:val="24"/>
          <w:szCs w:val="24"/>
        </w:rPr>
        <w:t xml:space="preserve"> </w:t>
      </w:r>
      <w:proofErr w:type="spellStart"/>
      <w:r w:rsidR="00AC5FF9" w:rsidRPr="00FC25BB">
        <w:rPr>
          <w:rFonts w:asciiTheme="majorBidi" w:eastAsia="Times New Roman" w:hAnsiTheme="majorBidi" w:cstheme="majorBidi"/>
          <w:sz w:val="24"/>
          <w:szCs w:val="24"/>
        </w:rPr>
        <w:t>Rathi</w:t>
      </w:r>
      <w:proofErr w:type="spellEnd"/>
      <w:r w:rsidR="00AC5FF9" w:rsidRPr="00FC25BB">
        <w:rPr>
          <w:rFonts w:asciiTheme="majorBidi" w:eastAsia="Times New Roman" w:hAnsiTheme="majorBidi" w:cstheme="majorBidi"/>
          <w:sz w:val="24"/>
          <w:szCs w:val="24"/>
        </w:rPr>
        <w:t xml:space="preserve">, M.&amp; Ramachandran, R.(2012). Sexual and gonadal dysfunction in chronic kidney disease: Pathophysiology. Indian J </w:t>
      </w:r>
      <w:proofErr w:type="spellStart"/>
      <w:r w:rsidR="00AC5FF9" w:rsidRPr="00FC25BB">
        <w:rPr>
          <w:rFonts w:asciiTheme="majorBidi" w:eastAsia="Times New Roman" w:hAnsiTheme="majorBidi" w:cstheme="majorBidi"/>
          <w:sz w:val="24"/>
          <w:szCs w:val="24"/>
        </w:rPr>
        <w:t>Endocr</w:t>
      </w:r>
      <w:proofErr w:type="spellEnd"/>
      <w:r w:rsidR="00AC5FF9" w:rsidRPr="00FC25BB">
        <w:rPr>
          <w:rFonts w:asciiTheme="majorBidi" w:eastAsia="Times New Roman" w:hAnsiTheme="majorBidi" w:cstheme="majorBidi"/>
          <w:sz w:val="24"/>
          <w:szCs w:val="24"/>
        </w:rPr>
        <w:t xml:space="preserve"> </w:t>
      </w:r>
      <w:proofErr w:type="spellStart"/>
      <w:r w:rsidR="00AC5FF9" w:rsidRPr="00FC25BB">
        <w:rPr>
          <w:rFonts w:asciiTheme="majorBidi" w:eastAsia="Times New Roman" w:hAnsiTheme="majorBidi" w:cstheme="majorBidi"/>
          <w:sz w:val="24"/>
          <w:szCs w:val="24"/>
        </w:rPr>
        <w:t>Metab</w:t>
      </w:r>
      <w:proofErr w:type="spellEnd"/>
      <w:r w:rsidR="00AC5FF9" w:rsidRPr="00FC25BB">
        <w:rPr>
          <w:rFonts w:asciiTheme="majorBidi" w:eastAsia="Times New Roman" w:hAnsiTheme="majorBidi" w:cstheme="majorBidi"/>
          <w:sz w:val="24"/>
          <w:szCs w:val="24"/>
        </w:rPr>
        <w:t xml:space="preserve"> ;16:214-219. </w:t>
      </w:r>
    </w:p>
    <w:p w:rsidR="00AC5FF9" w:rsidRPr="00FC25BB" w:rsidRDefault="00831109" w:rsidP="00FC25BB">
      <w:pPr>
        <w:bidi w:val="0"/>
        <w:spacing w:after="0" w:line="240" w:lineRule="auto"/>
        <w:jc w:val="both"/>
        <w:rPr>
          <w:rFonts w:asciiTheme="majorBidi" w:hAnsiTheme="majorBidi" w:cstheme="majorBidi"/>
          <w:sz w:val="24"/>
          <w:szCs w:val="24"/>
          <w:lang w:val="en-GB" w:bidi="ar-IQ"/>
        </w:rPr>
      </w:pPr>
      <w:r w:rsidRPr="00FC25BB">
        <w:rPr>
          <w:rFonts w:asciiTheme="majorBidi" w:hAnsiTheme="majorBidi" w:cstheme="majorBidi"/>
          <w:sz w:val="24"/>
          <w:szCs w:val="24"/>
        </w:rPr>
        <w:t>25</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AC5FF9" w:rsidRPr="00FC25BB">
        <w:rPr>
          <w:rFonts w:asciiTheme="majorBidi" w:hAnsiTheme="majorBidi" w:cstheme="majorBidi"/>
          <w:sz w:val="24"/>
          <w:szCs w:val="24"/>
        </w:rPr>
        <w:t>Sarookhani</w:t>
      </w:r>
      <w:proofErr w:type="spellEnd"/>
      <w:r w:rsidR="00AC5FF9" w:rsidRPr="00FC25BB">
        <w:rPr>
          <w:rFonts w:asciiTheme="majorBidi" w:hAnsiTheme="majorBidi" w:cstheme="majorBidi"/>
          <w:sz w:val="24"/>
          <w:szCs w:val="24"/>
        </w:rPr>
        <w:t xml:space="preserve"> M R.(2007). Evaluation of thyroid </w:t>
      </w:r>
      <w:r w:rsidR="00EC2C3B" w:rsidRPr="00FC25BB">
        <w:rPr>
          <w:rFonts w:asciiTheme="majorBidi" w:hAnsiTheme="majorBidi" w:cstheme="majorBidi"/>
          <w:sz w:val="24"/>
          <w:szCs w:val="24"/>
        </w:rPr>
        <w:t>function tests in</w:t>
      </w:r>
      <w:r w:rsidR="00AC5FF9" w:rsidRPr="00FC25BB">
        <w:rPr>
          <w:rFonts w:asciiTheme="majorBidi" w:hAnsiTheme="majorBidi" w:cstheme="majorBidi"/>
          <w:sz w:val="24"/>
          <w:szCs w:val="24"/>
        </w:rPr>
        <w:t xml:space="preserve"> </w:t>
      </w:r>
      <w:proofErr w:type="spellStart"/>
      <w:r w:rsidR="00AC5FF9" w:rsidRPr="00FC25BB">
        <w:rPr>
          <w:rFonts w:asciiTheme="majorBidi" w:hAnsiTheme="majorBidi" w:cstheme="majorBidi"/>
          <w:sz w:val="24"/>
          <w:szCs w:val="24"/>
        </w:rPr>
        <w:t>hemodialyzed</w:t>
      </w:r>
      <w:proofErr w:type="spellEnd"/>
      <w:r w:rsidR="00AC5FF9" w:rsidRPr="00FC25BB">
        <w:rPr>
          <w:rFonts w:asciiTheme="majorBidi" w:hAnsiTheme="majorBidi" w:cstheme="majorBidi"/>
          <w:sz w:val="24"/>
          <w:szCs w:val="24"/>
        </w:rPr>
        <w:t xml:space="preserve"> patients. The Journals of Qazvin Univ. of Med. Sci.; 10: 46-50.</w:t>
      </w:r>
      <w:r w:rsidR="00AC5FF9" w:rsidRPr="00FC25BB">
        <w:rPr>
          <w:rFonts w:asciiTheme="majorBidi" w:hAnsiTheme="majorBidi" w:cstheme="majorBidi"/>
          <w:sz w:val="24"/>
          <w:szCs w:val="24"/>
          <w:lang w:val="en-GB" w:bidi="ar-IQ"/>
        </w:rPr>
        <w:t xml:space="preserve"> </w:t>
      </w:r>
    </w:p>
    <w:p w:rsidR="00AC5FF9" w:rsidRPr="00FC25BB" w:rsidRDefault="00831109" w:rsidP="00FC25BB">
      <w:pPr>
        <w:shd w:val="clear" w:color="auto" w:fill="FBFBFB"/>
        <w:bidi w:val="0"/>
        <w:spacing w:after="0" w:line="240" w:lineRule="auto"/>
        <w:jc w:val="both"/>
        <w:rPr>
          <w:rFonts w:asciiTheme="majorBidi" w:eastAsia="Times New Roman" w:hAnsiTheme="majorBidi" w:cstheme="majorBidi"/>
          <w:color w:val="000000"/>
          <w:sz w:val="24"/>
          <w:szCs w:val="24"/>
          <w:lang w:val="en-GB"/>
        </w:rPr>
      </w:pPr>
      <w:r w:rsidRPr="00FC25BB">
        <w:rPr>
          <w:rFonts w:asciiTheme="majorBidi" w:eastAsia="Times New Roman" w:hAnsiTheme="majorBidi" w:cstheme="majorBidi"/>
          <w:color w:val="000000"/>
          <w:sz w:val="24"/>
          <w:szCs w:val="24"/>
          <w:lang w:val="en-GB"/>
        </w:rPr>
        <w:t>26</w:t>
      </w:r>
      <w:r w:rsidR="00EC2C3B" w:rsidRPr="00FC25BB">
        <w:rPr>
          <w:rFonts w:asciiTheme="majorBidi" w:eastAsia="Times New Roman" w:hAnsiTheme="majorBidi" w:cstheme="majorBidi"/>
          <w:color w:val="000000"/>
          <w:sz w:val="24"/>
          <w:szCs w:val="24"/>
          <w:lang w:val="en-GB"/>
        </w:rPr>
        <w:t>.</w:t>
      </w:r>
      <w:r w:rsidR="003D4DA5">
        <w:rPr>
          <w:rFonts w:asciiTheme="majorBidi" w:eastAsia="Times New Roman" w:hAnsiTheme="majorBidi" w:cstheme="majorBidi"/>
          <w:color w:val="000000"/>
          <w:sz w:val="24"/>
          <w:szCs w:val="24"/>
          <w:lang w:val="en-GB"/>
        </w:rPr>
        <w:t xml:space="preserve"> </w:t>
      </w:r>
      <w:r w:rsidR="00AC5FF9" w:rsidRPr="00FC25BB">
        <w:rPr>
          <w:rFonts w:asciiTheme="majorBidi" w:eastAsia="Times New Roman" w:hAnsiTheme="majorBidi" w:cstheme="majorBidi"/>
          <w:color w:val="000000"/>
          <w:sz w:val="24"/>
          <w:szCs w:val="24"/>
          <w:lang w:val="en-GB"/>
        </w:rPr>
        <w:t>Song, Y.S .;</w:t>
      </w:r>
      <w:proofErr w:type="spellStart"/>
      <w:r w:rsidR="00AC5FF9" w:rsidRPr="00FC25BB">
        <w:rPr>
          <w:rFonts w:asciiTheme="majorBidi" w:eastAsia="Times New Roman" w:hAnsiTheme="majorBidi" w:cstheme="majorBidi"/>
          <w:color w:val="000000"/>
          <w:sz w:val="24"/>
          <w:szCs w:val="24"/>
          <w:lang w:val="en-GB"/>
        </w:rPr>
        <w:t>Yang,H</w:t>
      </w:r>
      <w:proofErr w:type="spellEnd"/>
      <w:r w:rsidR="00AC5FF9" w:rsidRPr="00FC25BB">
        <w:rPr>
          <w:rFonts w:asciiTheme="majorBidi" w:eastAsia="Times New Roman" w:hAnsiTheme="majorBidi" w:cstheme="majorBidi"/>
          <w:color w:val="000000"/>
          <w:sz w:val="24"/>
          <w:szCs w:val="24"/>
          <w:lang w:val="en-GB"/>
        </w:rPr>
        <w:t xml:space="preserve"> .</w:t>
      </w:r>
      <w:proofErr w:type="spellStart"/>
      <w:r w:rsidR="00AC5FF9" w:rsidRPr="00FC25BB">
        <w:rPr>
          <w:rFonts w:asciiTheme="majorBidi" w:eastAsia="Times New Roman" w:hAnsiTheme="majorBidi" w:cstheme="majorBidi"/>
          <w:color w:val="000000"/>
          <w:sz w:val="24"/>
          <w:szCs w:val="24"/>
          <w:lang w:val="en-GB"/>
        </w:rPr>
        <w:t>J.;Song</w:t>
      </w:r>
      <w:proofErr w:type="spellEnd"/>
      <w:r w:rsidR="00AC5FF9" w:rsidRPr="00FC25BB">
        <w:rPr>
          <w:rFonts w:asciiTheme="majorBidi" w:eastAsia="Times New Roman" w:hAnsiTheme="majorBidi" w:cstheme="majorBidi"/>
          <w:color w:val="000000"/>
          <w:sz w:val="24"/>
          <w:szCs w:val="24"/>
          <w:lang w:val="en-GB"/>
        </w:rPr>
        <w:t xml:space="preserve"> ,E .S.; Han ,D.C. ;Moon ,C.&amp; Ku ,J. H (2007).Sexual Function and Quality of Life in Korean Women with Chronic Renal Failure on </w:t>
      </w:r>
      <w:proofErr w:type="spellStart"/>
      <w:r w:rsidR="00AC5FF9" w:rsidRPr="00FC25BB">
        <w:rPr>
          <w:rFonts w:asciiTheme="majorBidi" w:eastAsia="Times New Roman" w:hAnsiTheme="majorBidi" w:cstheme="majorBidi"/>
          <w:color w:val="000000"/>
          <w:sz w:val="24"/>
          <w:szCs w:val="24"/>
          <w:lang w:val="en-GB"/>
        </w:rPr>
        <w:t>Hemodialysis</w:t>
      </w:r>
      <w:proofErr w:type="spellEnd"/>
      <w:r w:rsidR="00AC5FF9" w:rsidRPr="00FC25BB">
        <w:rPr>
          <w:rFonts w:asciiTheme="majorBidi" w:eastAsia="Times New Roman" w:hAnsiTheme="majorBidi" w:cstheme="majorBidi"/>
          <w:color w:val="000000"/>
          <w:sz w:val="24"/>
          <w:szCs w:val="24"/>
          <w:lang w:val="en-GB"/>
        </w:rPr>
        <w:t xml:space="preserve">. J. urology ;71(2):243-246. </w:t>
      </w:r>
    </w:p>
    <w:p w:rsidR="00AC5FF9"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27</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AC5FF9" w:rsidRPr="00FC25BB">
        <w:rPr>
          <w:rFonts w:asciiTheme="majorBidi" w:hAnsiTheme="majorBidi" w:cstheme="majorBidi"/>
          <w:sz w:val="24"/>
          <w:szCs w:val="24"/>
        </w:rPr>
        <w:t>Stenvinkel</w:t>
      </w:r>
      <w:proofErr w:type="spellEnd"/>
      <w:r w:rsidR="00AC5FF9" w:rsidRPr="00FC25BB">
        <w:rPr>
          <w:rFonts w:asciiTheme="majorBidi" w:hAnsiTheme="majorBidi" w:cstheme="majorBidi"/>
          <w:sz w:val="24"/>
          <w:szCs w:val="24"/>
        </w:rPr>
        <w:t xml:space="preserve"> ,P.(2010). Chronic kidney disease: a public health      priority and </w:t>
      </w:r>
      <w:proofErr w:type="spellStart"/>
      <w:r w:rsidR="00AC5FF9" w:rsidRPr="00FC25BB">
        <w:rPr>
          <w:rFonts w:asciiTheme="majorBidi" w:hAnsiTheme="majorBidi" w:cstheme="majorBidi"/>
          <w:sz w:val="24"/>
          <w:szCs w:val="24"/>
        </w:rPr>
        <w:t>harbingerof</w:t>
      </w:r>
      <w:proofErr w:type="spellEnd"/>
      <w:r w:rsidR="00AC5FF9" w:rsidRPr="00FC25BB">
        <w:rPr>
          <w:rFonts w:asciiTheme="majorBidi" w:hAnsiTheme="majorBidi" w:cstheme="majorBidi"/>
          <w:sz w:val="24"/>
          <w:szCs w:val="24"/>
        </w:rPr>
        <w:t xml:space="preserve"> premature cardiovascular disease. Journal of Internal Medicine; 1365-2796.</w:t>
      </w:r>
    </w:p>
    <w:p w:rsidR="004D4DF5"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color w:val="231F20"/>
          <w:sz w:val="24"/>
          <w:szCs w:val="24"/>
        </w:rPr>
        <w:t>28</w:t>
      </w:r>
      <w:r w:rsidR="00EC2C3B" w:rsidRPr="00FC25BB">
        <w:rPr>
          <w:rFonts w:asciiTheme="majorBidi" w:hAnsiTheme="majorBidi" w:cstheme="majorBidi"/>
          <w:color w:val="231F20"/>
          <w:sz w:val="24"/>
          <w:szCs w:val="24"/>
        </w:rPr>
        <w:t>.</w:t>
      </w:r>
      <w:r w:rsidR="003D4DA5">
        <w:rPr>
          <w:rFonts w:asciiTheme="majorBidi" w:hAnsiTheme="majorBidi" w:cstheme="majorBidi"/>
          <w:color w:val="231F20"/>
          <w:sz w:val="24"/>
          <w:szCs w:val="24"/>
        </w:rPr>
        <w:t xml:space="preserve"> </w:t>
      </w:r>
      <w:proofErr w:type="spellStart"/>
      <w:r w:rsidR="004D4DF5" w:rsidRPr="00FC25BB">
        <w:rPr>
          <w:rFonts w:asciiTheme="majorBidi" w:hAnsiTheme="majorBidi" w:cstheme="majorBidi"/>
          <w:color w:val="231F20"/>
          <w:sz w:val="24"/>
          <w:szCs w:val="24"/>
        </w:rPr>
        <w:t>Thapa</w:t>
      </w:r>
      <w:proofErr w:type="spellEnd"/>
      <w:r w:rsidR="004D4DF5" w:rsidRPr="00FC25BB">
        <w:rPr>
          <w:rFonts w:asciiTheme="majorBidi" w:hAnsiTheme="majorBidi" w:cstheme="majorBidi"/>
          <w:color w:val="231F20"/>
          <w:sz w:val="24"/>
          <w:szCs w:val="24"/>
        </w:rPr>
        <w:t xml:space="preserve">, L. </w:t>
      </w:r>
      <w:r w:rsidR="004D4DF5" w:rsidRPr="00FC25BB">
        <w:rPr>
          <w:rFonts w:asciiTheme="majorBidi" w:hAnsiTheme="majorBidi" w:cstheme="majorBidi"/>
          <w:sz w:val="24"/>
          <w:szCs w:val="24"/>
        </w:rPr>
        <w:t>;</w:t>
      </w:r>
      <w:proofErr w:type="spellStart"/>
      <w:r w:rsidR="004D4DF5" w:rsidRPr="00FC25BB">
        <w:rPr>
          <w:rFonts w:asciiTheme="majorBidi" w:hAnsiTheme="majorBidi" w:cstheme="majorBidi"/>
          <w:sz w:val="24"/>
          <w:szCs w:val="24"/>
        </w:rPr>
        <w:t>Karki,P.;Shama,S.K</w:t>
      </w:r>
      <w:proofErr w:type="spellEnd"/>
      <w:r w:rsidR="004D4DF5" w:rsidRPr="00FC25BB">
        <w:rPr>
          <w:rFonts w:asciiTheme="majorBidi" w:hAnsiTheme="majorBidi" w:cstheme="majorBidi"/>
          <w:sz w:val="24"/>
          <w:szCs w:val="24"/>
        </w:rPr>
        <w:t>. &amp;</w:t>
      </w:r>
      <w:r w:rsidR="004425DF">
        <w:rPr>
          <w:rFonts w:asciiTheme="majorBidi" w:hAnsiTheme="majorBidi" w:cstheme="majorBidi"/>
          <w:sz w:val="24"/>
          <w:szCs w:val="24"/>
        </w:rPr>
        <w:t xml:space="preserve"> </w:t>
      </w:r>
      <w:proofErr w:type="spellStart"/>
      <w:r w:rsidR="004D4DF5" w:rsidRPr="00FC25BB">
        <w:rPr>
          <w:rFonts w:asciiTheme="majorBidi" w:hAnsiTheme="majorBidi" w:cstheme="majorBidi"/>
          <w:sz w:val="24"/>
          <w:szCs w:val="24"/>
        </w:rPr>
        <w:t>Bajaj,B.K</w:t>
      </w:r>
      <w:proofErr w:type="spellEnd"/>
      <w:r w:rsidR="004D4DF5" w:rsidRPr="00FC25BB">
        <w:rPr>
          <w:rFonts w:asciiTheme="majorBidi" w:hAnsiTheme="majorBidi" w:cstheme="majorBidi"/>
          <w:sz w:val="24"/>
          <w:szCs w:val="24"/>
        </w:rPr>
        <w:t xml:space="preserve">.(2010).Cardiovascular Autonomic Neuropathy in Chronic Kidney </w:t>
      </w:r>
      <w:proofErr w:type="spellStart"/>
      <w:r w:rsidR="004D4DF5" w:rsidRPr="00FC25BB">
        <w:rPr>
          <w:rFonts w:asciiTheme="majorBidi" w:hAnsiTheme="majorBidi" w:cstheme="majorBidi"/>
          <w:sz w:val="24"/>
          <w:szCs w:val="24"/>
        </w:rPr>
        <w:t>Disease.JNepalMed</w:t>
      </w:r>
      <w:proofErr w:type="spellEnd"/>
      <w:r w:rsidR="004D4DF5" w:rsidRPr="00FC25BB">
        <w:rPr>
          <w:rFonts w:asciiTheme="majorBidi" w:hAnsiTheme="majorBidi" w:cstheme="majorBidi"/>
          <w:sz w:val="24"/>
          <w:szCs w:val="24"/>
        </w:rPr>
        <w:t xml:space="preserve"> Assoc.;49(178):121-18.</w:t>
      </w:r>
    </w:p>
    <w:p w:rsidR="001D2BB3"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29</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Yilmaz,MI</w:t>
      </w:r>
      <w:proofErr w:type="spellEnd"/>
      <w:r w:rsidR="001D2BB3" w:rsidRPr="00FC25BB">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Sonmez,A</w:t>
      </w:r>
      <w:proofErr w:type="spellEnd"/>
      <w:r w:rsidR="001D2BB3" w:rsidRPr="00FC25BB">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Qureshi,A</w:t>
      </w:r>
      <w:proofErr w:type="spellEnd"/>
      <w:r w:rsidR="001D2BB3" w:rsidRPr="00FC25BB">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Saglam</w:t>
      </w:r>
      <w:proofErr w:type="spellEnd"/>
      <w:r w:rsidR="001D2BB3"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M.;Stenvinkel,P</w:t>
      </w:r>
      <w:proofErr w:type="spellEnd"/>
      <w:r w:rsidR="001D2BB3" w:rsidRPr="00FC25BB">
        <w:rPr>
          <w:rFonts w:asciiTheme="majorBidi" w:hAnsiTheme="majorBidi" w:cstheme="majorBidi"/>
          <w:sz w:val="24"/>
          <w:szCs w:val="24"/>
        </w:rPr>
        <w:t>. ;</w:t>
      </w:r>
      <w:proofErr w:type="spellStart"/>
      <w:r w:rsidR="001D2BB3" w:rsidRPr="00FC25BB">
        <w:rPr>
          <w:rFonts w:asciiTheme="majorBidi" w:hAnsiTheme="majorBidi" w:cstheme="majorBidi"/>
          <w:sz w:val="24"/>
          <w:szCs w:val="24"/>
        </w:rPr>
        <w:t>Yaman,H</w:t>
      </w:r>
      <w:proofErr w:type="spellEnd"/>
      <w:r w:rsidR="001D2BB3" w:rsidRPr="00FC25BB">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Eyileten,T</w:t>
      </w:r>
      <w:proofErr w:type="spellEnd"/>
      <w:r w:rsidR="001D2BB3" w:rsidRPr="00FC25BB">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Caglar,K</w:t>
      </w:r>
      <w:proofErr w:type="spellEnd"/>
      <w:r w:rsidR="001D2BB3" w:rsidRPr="00FC25BB">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Oguz,Y</w:t>
      </w:r>
      <w:proofErr w:type="spellEnd"/>
      <w:r w:rsidR="001D2BB3" w:rsidRPr="00FC25BB">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Taslipinar,A</w:t>
      </w:r>
      <w:proofErr w:type="spellEnd"/>
      <w:r w:rsidR="001D2BB3" w:rsidRPr="00FC25BB">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Vural,A</w:t>
      </w:r>
      <w:proofErr w:type="spellEnd"/>
      <w:r w:rsidR="001D2BB3"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Gok,M</w:t>
      </w:r>
      <w:proofErr w:type="spellEnd"/>
      <w:r w:rsidR="001D2BB3" w:rsidRPr="00FC25BB">
        <w:rPr>
          <w:rFonts w:asciiTheme="majorBidi" w:hAnsiTheme="majorBidi" w:cstheme="majorBidi"/>
          <w:sz w:val="24"/>
          <w:szCs w:val="24"/>
        </w:rPr>
        <w:t>. ;</w:t>
      </w:r>
      <w:proofErr w:type="spellStart"/>
      <w:r w:rsidR="001D2BB3" w:rsidRPr="00FC25BB">
        <w:rPr>
          <w:rFonts w:asciiTheme="majorBidi" w:hAnsiTheme="majorBidi" w:cstheme="majorBidi"/>
          <w:sz w:val="24"/>
          <w:szCs w:val="24"/>
        </w:rPr>
        <w:t>Unal,H</w:t>
      </w:r>
      <w:proofErr w:type="spellEnd"/>
      <w:r w:rsidR="001D2BB3" w:rsidRPr="00FC25BB">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Yenicesu</w:t>
      </w:r>
      <w:proofErr w:type="spellEnd"/>
      <w:r w:rsidR="001D2BB3"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1D2BB3" w:rsidRPr="00FC25BB">
        <w:rPr>
          <w:rFonts w:asciiTheme="majorBidi" w:hAnsiTheme="majorBidi" w:cstheme="majorBidi"/>
          <w:sz w:val="24"/>
          <w:szCs w:val="24"/>
        </w:rPr>
        <w:t xml:space="preserve">M. and Juan  </w:t>
      </w:r>
      <w:proofErr w:type="spellStart"/>
      <w:r w:rsidR="001D2BB3" w:rsidRPr="00FC25BB">
        <w:rPr>
          <w:rFonts w:asciiTheme="majorBidi" w:hAnsiTheme="majorBidi" w:cstheme="majorBidi"/>
          <w:sz w:val="24"/>
          <w:szCs w:val="24"/>
        </w:rPr>
        <w:t>Carrero</w:t>
      </w:r>
      <w:proofErr w:type="spellEnd"/>
      <w:r w:rsidR="001D2BB3" w:rsidRPr="00FC25BB">
        <w:rPr>
          <w:rFonts w:asciiTheme="majorBidi" w:hAnsiTheme="majorBidi" w:cstheme="majorBidi"/>
          <w:sz w:val="24"/>
          <w:szCs w:val="24"/>
        </w:rPr>
        <w:t>,</w:t>
      </w:r>
      <w:r w:rsidR="003D4DA5">
        <w:rPr>
          <w:rFonts w:asciiTheme="majorBidi" w:hAnsiTheme="majorBidi" w:cstheme="majorBidi"/>
          <w:sz w:val="24"/>
          <w:szCs w:val="24"/>
        </w:rPr>
        <w:t xml:space="preserve"> </w:t>
      </w:r>
      <w:r w:rsidR="001D2BB3" w:rsidRPr="00FC25BB">
        <w:rPr>
          <w:rFonts w:asciiTheme="majorBidi" w:hAnsiTheme="majorBidi" w:cstheme="majorBidi"/>
          <w:sz w:val="24"/>
          <w:szCs w:val="24"/>
        </w:rPr>
        <w:t>J.</w:t>
      </w:r>
      <w:r w:rsidR="003D4DA5">
        <w:rPr>
          <w:rFonts w:asciiTheme="majorBidi" w:hAnsiTheme="majorBidi" w:cstheme="majorBidi"/>
          <w:sz w:val="24"/>
          <w:szCs w:val="24"/>
        </w:rPr>
        <w:t xml:space="preserve"> </w:t>
      </w:r>
      <w:r w:rsidR="001D2BB3" w:rsidRPr="00FC25BB">
        <w:rPr>
          <w:rFonts w:asciiTheme="majorBidi" w:hAnsiTheme="majorBidi" w:cstheme="majorBidi"/>
          <w:sz w:val="24"/>
          <w:szCs w:val="24"/>
        </w:rPr>
        <w:t>J.</w:t>
      </w:r>
      <w:r w:rsidR="003D4DA5">
        <w:rPr>
          <w:rFonts w:asciiTheme="majorBidi" w:hAnsiTheme="majorBidi" w:cstheme="majorBidi"/>
          <w:sz w:val="24"/>
          <w:szCs w:val="24"/>
        </w:rPr>
        <w:t xml:space="preserve"> </w:t>
      </w:r>
      <w:r w:rsidR="001D2BB3" w:rsidRPr="00FC25BB">
        <w:rPr>
          <w:rFonts w:asciiTheme="majorBidi" w:hAnsiTheme="majorBidi" w:cstheme="majorBidi"/>
          <w:sz w:val="24"/>
          <w:szCs w:val="24"/>
        </w:rPr>
        <w:t xml:space="preserve">(2011). Endogenous Testosterone, Endothelial Dysfunction ,and Cardiovascular Events in Men with </w:t>
      </w:r>
      <w:proofErr w:type="spellStart"/>
      <w:r w:rsidR="001D2BB3" w:rsidRPr="00FC25BB">
        <w:rPr>
          <w:rFonts w:asciiTheme="majorBidi" w:hAnsiTheme="majorBidi" w:cstheme="majorBidi"/>
          <w:sz w:val="24"/>
          <w:szCs w:val="24"/>
        </w:rPr>
        <w:t>NondialysisChronic</w:t>
      </w:r>
      <w:proofErr w:type="spellEnd"/>
      <w:r w:rsidR="001D2BB3" w:rsidRPr="00FC25BB">
        <w:rPr>
          <w:rFonts w:asciiTheme="majorBidi" w:hAnsiTheme="majorBidi" w:cstheme="majorBidi"/>
          <w:sz w:val="24"/>
          <w:szCs w:val="24"/>
        </w:rPr>
        <w:t xml:space="preserve"> Kidney Disease . </w:t>
      </w:r>
      <w:proofErr w:type="spellStart"/>
      <w:r w:rsidR="001D2BB3" w:rsidRPr="00FC25BB">
        <w:rPr>
          <w:rFonts w:asciiTheme="majorBidi" w:hAnsiTheme="majorBidi" w:cstheme="majorBidi"/>
          <w:sz w:val="24"/>
          <w:szCs w:val="24"/>
        </w:rPr>
        <w:t>Clin</w:t>
      </w:r>
      <w:proofErr w:type="spellEnd"/>
      <w:r w:rsidR="001D2BB3" w:rsidRPr="00FC25BB">
        <w:rPr>
          <w:rFonts w:asciiTheme="majorBidi" w:hAnsiTheme="majorBidi" w:cstheme="majorBidi"/>
          <w:sz w:val="24"/>
          <w:szCs w:val="24"/>
        </w:rPr>
        <w:t xml:space="preserve"> J Am Soc </w:t>
      </w:r>
      <w:proofErr w:type="spellStart"/>
      <w:r w:rsidR="001D2BB3" w:rsidRPr="00FC25BB">
        <w:rPr>
          <w:rFonts w:asciiTheme="majorBidi" w:hAnsiTheme="majorBidi" w:cstheme="majorBidi"/>
          <w:sz w:val="24"/>
          <w:szCs w:val="24"/>
        </w:rPr>
        <w:t>Nephrol</w:t>
      </w:r>
      <w:proofErr w:type="spellEnd"/>
      <w:r w:rsidR="001D2BB3" w:rsidRPr="00FC25BB">
        <w:rPr>
          <w:rFonts w:asciiTheme="majorBidi" w:hAnsiTheme="majorBidi" w:cstheme="majorBidi"/>
          <w:sz w:val="24"/>
          <w:szCs w:val="24"/>
        </w:rPr>
        <w:t xml:space="preserve"> 6: 1617–1625.</w:t>
      </w:r>
    </w:p>
    <w:p w:rsidR="001D2BB3" w:rsidRPr="00FC25BB" w:rsidRDefault="00831109" w:rsidP="00FC25BB">
      <w:pPr>
        <w:bidi w:val="0"/>
        <w:spacing w:after="0" w:line="240" w:lineRule="auto"/>
        <w:jc w:val="both"/>
        <w:rPr>
          <w:rFonts w:asciiTheme="majorBidi" w:hAnsiTheme="majorBidi" w:cstheme="majorBidi"/>
          <w:sz w:val="24"/>
          <w:szCs w:val="24"/>
          <w:lang w:val="en-GB" w:bidi="ar-IQ"/>
        </w:rPr>
      </w:pPr>
      <w:r w:rsidRPr="00FC25BB">
        <w:rPr>
          <w:rFonts w:asciiTheme="majorBidi" w:hAnsiTheme="majorBidi" w:cstheme="majorBidi"/>
          <w:sz w:val="24"/>
          <w:szCs w:val="24"/>
        </w:rPr>
        <w:t>30</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Yonemura</w:t>
      </w:r>
      <w:proofErr w:type="spellEnd"/>
      <w:r w:rsidR="001D2BB3" w:rsidRPr="00FC25BB">
        <w:rPr>
          <w:rFonts w:asciiTheme="majorBidi" w:hAnsiTheme="majorBidi" w:cstheme="majorBidi"/>
          <w:sz w:val="24"/>
          <w:szCs w:val="24"/>
        </w:rPr>
        <w:t xml:space="preserve"> K, Nakajima T, Suzuki T.; </w:t>
      </w:r>
      <w:proofErr w:type="spellStart"/>
      <w:r w:rsidR="001D2BB3" w:rsidRPr="00FC25BB">
        <w:rPr>
          <w:rFonts w:asciiTheme="majorBidi" w:hAnsiTheme="majorBidi" w:cstheme="majorBidi"/>
          <w:sz w:val="24"/>
          <w:szCs w:val="24"/>
        </w:rPr>
        <w:t>Ando,S</w:t>
      </w:r>
      <w:proofErr w:type="spellEnd"/>
      <w:r w:rsidR="001D2BB3" w:rsidRPr="00FC25BB">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Genma</w:t>
      </w:r>
      <w:proofErr w:type="spellEnd"/>
      <w:r w:rsidR="001D2BB3" w:rsidRPr="00FC25BB">
        <w:rPr>
          <w:rFonts w:asciiTheme="majorBidi" w:hAnsiTheme="majorBidi" w:cstheme="majorBidi"/>
          <w:sz w:val="24"/>
          <w:szCs w:val="24"/>
        </w:rPr>
        <w:t xml:space="preserve">, R.; </w:t>
      </w:r>
      <w:proofErr w:type="spellStart"/>
      <w:r w:rsidR="001D2BB3" w:rsidRPr="00FC25BB">
        <w:rPr>
          <w:rFonts w:asciiTheme="majorBidi" w:hAnsiTheme="majorBidi" w:cstheme="majorBidi"/>
          <w:sz w:val="24"/>
          <w:szCs w:val="24"/>
        </w:rPr>
        <w:t>Nakmura</w:t>
      </w:r>
      <w:proofErr w:type="spellEnd"/>
      <w:r w:rsidR="001D2BB3" w:rsidRPr="00FC25BB">
        <w:rPr>
          <w:rFonts w:asciiTheme="majorBidi" w:hAnsiTheme="majorBidi" w:cstheme="majorBidi"/>
          <w:sz w:val="24"/>
          <w:szCs w:val="24"/>
        </w:rPr>
        <w:t xml:space="preserve">, H.&amp; </w:t>
      </w:r>
      <w:proofErr w:type="spellStart"/>
      <w:r w:rsidR="001D2BB3" w:rsidRPr="00FC25BB">
        <w:rPr>
          <w:rFonts w:asciiTheme="majorBidi" w:hAnsiTheme="majorBidi" w:cstheme="majorBidi"/>
          <w:sz w:val="24"/>
          <w:szCs w:val="24"/>
        </w:rPr>
        <w:t>Hishida</w:t>
      </w:r>
      <w:proofErr w:type="spellEnd"/>
      <w:r w:rsidR="001D2BB3" w:rsidRPr="00FC25BB">
        <w:rPr>
          <w:rFonts w:asciiTheme="majorBidi" w:hAnsiTheme="majorBidi" w:cstheme="majorBidi"/>
          <w:sz w:val="24"/>
          <w:szCs w:val="24"/>
        </w:rPr>
        <w:t xml:space="preserve"> ,A.(2000). Low free </w:t>
      </w:r>
      <w:proofErr w:type="spellStart"/>
      <w:r w:rsidR="001D2BB3" w:rsidRPr="00FC25BB">
        <w:rPr>
          <w:rFonts w:asciiTheme="majorBidi" w:hAnsiTheme="majorBidi" w:cstheme="majorBidi"/>
          <w:sz w:val="24"/>
          <w:szCs w:val="24"/>
        </w:rPr>
        <w:t>thyroxine</w:t>
      </w:r>
      <w:proofErr w:type="spellEnd"/>
      <w:r w:rsidR="001D2BB3" w:rsidRPr="00FC25BB">
        <w:rPr>
          <w:rFonts w:asciiTheme="majorBidi" w:hAnsiTheme="majorBidi" w:cstheme="majorBidi"/>
          <w:sz w:val="24"/>
          <w:szCs w:val="24"/>
        </w:rPr>
        <w:t xml:space="preserve"> concentrations and deficient nocturnal surge of thyroid — stimulating hormone in </w:t>
      </w:r>
      <w:proofErr w:type="spellStart"/>
      <w:r w:rsidR="001D2BB3" w:rsidRPr="00FC25BB">
        <w:rPr>
          <w:rFonts w:asciiTheme="majorBidi" w:hAnsiTheme="majorBidi" w:cstheme="majorBidi"/>
          <w:sz w:val="24"/>
          <w:szCs w:val="24"/>
        </w:rPr>
        <w:t>haemodialysed</w:t>
      </w:r>
      <w:proofErr w:type="spellEnd"/>
      <w:r w:rsidR="001D2BB3" w:rsidRPr="00FC25BB">
        <w:rPr>
          <w:rFonts w:asciiTheme="majorBidi" w:hAnsiTheme="majorBidi" w:cstheme="majorBidi"/>
          <w:sz w:val="24"/>
          <w:szCs w:val="24"/>
        </w:rPr>
        <w:t xml:space="preserve"> patients compared with </w:t>
      </w:r>
      <w:proofErr w:type="spellStart"/>
      <w:r w:rsidR="001D2BB3" w:rsidRPr="00FC25BB">
        <w:rPr>
          <w:rFonts w:asciiTheme="majorBidi" w:hAnsiTheme="majorBidi" w:cstheme="majorBidi"/>
          <w:sz w:val="24"/>
          <w:szCs w:val="24"/>
        </w:rPr>
        <w:t>undialysed</w:t>
      </w:r>
      <w:proofErr w:type="spellEnd"/>
      <w:r w:rsidR="001D2BB3" w:rsidRPr="00FC25BB">
        <w:rPr>
          <w:rFonts w:asciiTheme="majorBidi" w:hAnsiTheme="majorBidi" w:cstheme="majorBidi"/>
          <w:sz w:val="24"/>
          <w:szCs w:val="24"/>
        </w:rPr>
        <w:t xml:space="preserve"> </w:t>
      </w:r>
      <w:r w:rsidR="001D2BB3" w:rsidRPr="00FC25BB">
        <w:rPr>
          <w:rFonts w:asciiTheme="majorBidi" w:hAnsiTheme="majorBidi" w:cstheme="majorBidi"/>
          <w:sz w:val="24"/>
          <w:szCs w:val="24"/>
        </w:rPr>
        <w:lastRenderedPageBreak/>
        <w:t xml:space="preserve">patients. </w:t>
      </w:r>
      <w:proofErr w:type="spellStart"/>
      <w:r w:rsidR="001D2BB3" w:rsidRPr="00FC25BB">
        <w:rPr>
          <w:rFonts w:asciiTheme="majorBidi" w:hAnsiTheme="majorBidi" w:cstheme="majorBidi"/>
          <w:sz w:val="24"/>
          <w:szCs w:val="24"/>
        </w:rPr>
        <w:t>Nephrol</w:t>
      </w:r>
      <w:proofErr w:type="spellEnd"/>
      <w:r w:rsidR="001D2BB3" w:rsidRPr="00FC25BB">
        <w:rPr>
          <w:rFonts w:asciiTheme="majorBidi" w:hAnsiTheme="majorBidi" w:cstheme="majorBidi"/>
          <w:sz w:val="24"/>
          <w:szCs w:val="24"/>
        </w:rPr>
        <w:t xml:space="preserve"> Dial Transplant : 15: 668–672.</w:t>
      </w:r>
    </w:p>
    <w:p w:rsidR="00277C14" w:rsidRPr="00FC25BB" w:rsidRDefault="00831109" w:rsidP="00FC25BB">
      <w:pPr>
        <w:bidi w:val="0"/>
        <w:spacing w:after="0" w:line="240" w:lineRule="auto"/>
        <w:jc w:val="both"/>
        <w:rPr>
          <w:rFonts w:asciiTheme="majorBidi" w:hAnsiTheme="majorBidi" w:cstheme="majorBidi"/>
          <w:sz w:val="24"/>
          <w:szCs w:val="24"/>
        </w:rPr>
      </w:pPr>
      <w:r w:rsidRPr="00FC25BB">
        <w:rPr>
          <w:rFonts w:asciiTheme="majorBidi" w:hAnsiTheme="majorBidi" w:cstheme="majorBidi"/>
          <w:sz w:val="24"/>
          <w:szCs w:val="24"/>
        </w:rPr>
        <w:t>31</w:t>
      </w:r>
      <w:r w:rsidR="00EC2C3B" w:rsidRPr="00FC25BB">
        <w:rPr>
          <w:rFonts w:asciiTheme="majorBidi" w:hAnsiTheme="majorBidi" w:cstheme="majorBidi"/>
          <w:sz w:val="24"/>
          <w:szCs w:val="24"/>
        </w:rPr>
        <w:t>.</w:t>
      </w:r>
      <w:r w:rsidR="003D4DA5">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Zoccali</w:t>
      </w:r>
      <w:proofErr w:type="spellEnd"/>
      <w:r w:rsidR="001D2BB3" w:rsidRPr="00FC25BB">
        <w:rPr>
          <w:rFonts w:asciiTheme="majorBidi" w:hAnsiTheme="majorBidi" w:cstheme="majorBidi"/>
          <w:sz w:val="24"/>
          <w:szCs w:val="24"/>
        </w:rPr>
        <w:t xml:space="preserve">, C.; </w:t>
      </w:r>
      <w:proofErr w:type="spellStart"/>
      <w:r w:rsidR="001D2BB3" w:rsidRPr="00FC25BB">
        <w:rPr>
          <w:rFonts w:asciiTheme="majorBidi" w:hAnsiTheme="majorBidi" w:cstheme="majorBidi"/>
          <w:sz w:val="24"/>
          <w:szCs w:val="24"/>
        </w:rPr>
        <w:t>Mallamaci</w:t>
      </w:r>
      <w:proofErr w:type="spellEnd"/>
      <w:r w:rsidR="001D2BB3" w:rsidRPr="00FC25BB">
        <w:rPr>
          <w:rFonts w:asciiTheme="majorBidi" w:hAnsiTheme="majorBidi" w:cstheme="majorBidi"/>
          <w:sz w:val="24"/>
          <w:szCs w:val="24"/>
        </w:rPr>
        <w:t xml:space="preserve">, F.; </w:t>
      </w:r>
      <w:proofErr w:type="spellStart"/>
      <w:r w:rsidR="001D2BB3" w:rsidRPr="00FC25BB">
        <w:rPr>
          <w:rFonts w:asciiTheme="majorBidi" w:hAnsiTheme="majorBidi" w:cstheme="majorBidi"/>
          <w:sz w:val="24"/>
          <w:szCs w:val="24"/>
        </w:rPr>
        <w:t>Tripepi</w:t>
      </w:r>
      <w:proofErr w:type="spellEnd"/>
      <w:r w:rsidR="001D2BB3" w:rsidRPr="00FC25BB">
        <w:rPr>
          <w:rFonts w:asciiTheme="majorBidi" w:hAnsiTheme="majorBidi" w:cstheme="majorBidi"/>
          <w:sz w:val="24"/>
          <w:szCs w:val="24"/>
        </w:rPr>
        <w:t xml:space="preserve">, </w:t>
      </w:r>
      <w:proofErr w:type="spellStart"/>
      <w:r w:rsidR="001D2BB3" w:rsidRPr="00FC25BB">
        <w:rPr>
          <w:rFonts w:asciiTheme="majorBidi" w:hAnsiTheme="majorBidi" w:cstheme="majorBidi"/>
          <w:sz w:val="24"/>
          <w:szCs w:val="24"/>
        </w:rPr>
        <w:t>G.;Cutrupi</w:t>
      </w:r>
      <w:proofErr w:type="spellEnd"/>
      <w:r w:rsidR="001D2BB3" w:rsidRPr="00FC25BB">
        <w:rPr>
          <w:rFonts w:asciiTheme="majorBidi" w:hAnsiTheme="majorBidi" w:cstheme="majorBidi"/>
          <w:sz w:val="24"/>
          <w:szCs w:val="24"/>
        </w:rPr>
        <w:t xml:space="preserve">, S. and </w:t>
      </w:r>
      <w:proofErr w:type="spellStart"/>
      <w:r w:rsidR="001D2BB3" w:rsidRPr="00FC25BB">
        <w:rPr>
          <w:rFonts w:asciiTheme="majorBidi" w:hAnsiTheme="majorBidi" w:cstheme="majorBidi"/>
          <w:sz w:val="24"/>
          <w:szCs w:val="24"/>
        </w:rPr>
        <w:t>Pizzini</w:t>
      </w:r>
      <w:proofErr w:type="spellEnd"/>
      <w:r w:rsidR="001D2BB3" w:rsidRPr="00FC25BB">
        <w:rPr>
          <w:rFonts w:asciiTheme="majorBidi" w:hAnsiTheme="majorBidi" w:cstheme="majorBidi"/>
          <w:sz w:val="24"/>
          <w:szCs w:val="24"/>
        </w:rPr>
        <w:t xml:space="preserve">, P.(2006).  </w:t>
      </w:r>
      <w:r w:rsidR="001D2BB3" w:rsidRPr="00FC25BB">
        <w:rPr>
          <w:rFonts w:asciiTheme="majorBidi" w:hAnsiTheme="majorBidi" w:cstheme="majorBidi"/>
          <w:sz w:val="24"/>
          <w:szCs w:val="24"/>
        </w:rPr>
        <w:lastRenderedPageBreak/>
        <w:t xml:space="preserve">Low </w:t>
      </w:r>
      <w:proofErr w:type="spellStart"/>
      <w:r w:rsidR="001D2BB3" w:rsidRPr="00FC25BB">
        <w:rPr>
          <w:rFonts w:asciiTheme="majorBidi" w:hAnsiTheme="majorBidi" w:cstheme="majorBidi"/>
          <w:sz w:val="24"/>
          <w:szCs w:val="24"/>
        </w:rPr>
        <w:t>triiodothyronine</w:t>
      </w:r>
      <w:proofErr w:type="spellEnd"/>
      <w:r w:rsidR="001D2BB3" w:rsidRPr="00FC25BB">
        <w:rPr>
          <w:rFonts w:asciiTheme="majorBidi" w:hAnsiTheme="majorBidi" w:cstheme="majorBidi"/>
          <w:sz w:val="24"/>
          <w:szCs w:val="24"/>
        </w:rPr>
        <w:t xml:space="preserve"> and survival in end-stage renal disease. Kidney International.;70:5</w:t>
      </w:r>
      <w:r w:rsidR="00576D58" w:rsidRPr="00FC25BB">
        <w:rPr>
          <w:rFonts w:asciiTheme="majorBidi" w:hAnsiTheme="majorBidi" w:cstheme="majorBidi"/>
          <w:sz w:val="24"/>
          <w:szCs w:val="24"/>
        </w:rPr>
        <w:t>23–528.</w:t>
      </w:r>
    </w:p>
    <w:p w:rsidR="00FC25BB" w:rsidRDefault="00FC25BB" w:rsidP="00280784">
      <w:pPr>
        <w:bidi w:val="0"/>
        <w:spacing w:after="0" w:line="240" w:lineRule="auto"/>
        <w:ind w:left="1134" w:hanging="1134"/>
        <w:jc w:val="both"/>
        <w:rPr>
          <w:rFonts w:asciiTheme="majorBidi" w:hAnsiTheme="majorBidi" w:cstheme="majorBidi"/>
          <w:sz w:val="24"/>
          <w:szCs w:val="24"/>
        </w:rPr>
        <w:sectPr w:rsidR="00FC25BB" w:rsidSect="006D2ED4">
          <w:type w:val="continuous"/>
          <w:pgSz w:w="11906" w:h="16838"/>
          <w:pgMar w:top="1440" w:right="1800" w:bottom="1440" w:left="1800" w:header="708" w:footer="708" w:gutter="0"/>
          <w:pgNumType w:start="41"/>
          <w:cols w:num="2" w:space="709"/>
          <w:docGrid w:linePitch="360"/>
        </w:sectPr>
      </w:pPr>
    </w:p>
    <w:p w:rsidR="00C77610" w:rsidRDefault="00C77610" w:rsidP="00280784">
      <w:pPr>
        <w:bidi w:val="0"/>
        <w:spacing w:after="0" w:line="240" w:lineRule="auto"/>
        <w:ind w:left="1134" w:hanging="1134"/>
        <w:jc w:val="both"/>
        <w:rPr>
          <w:rFonts w:asciiTheme="majorBidi" w:hAnsiTheme="majorBidi" w:cstheme="majorBidi"/>
          <w:sz w:val="24"/>
          <w:szCs w:val="24"/>
        </w:rPr>
      </w:pPr>
    </w:p>
    <w:p w:rsidR="00C77610" w:rsidRDefault="00C77610" w:rsidP="00280784">
      <w:pPr>
        <w:bidi w:val="0"/>
        <w:spacing w:after="0" w:line="240" w:lineRule="auto"/>
        <w:ind w:left="1134" w:hanging="1134"/>
        <w:jc w:val="both"/>
        <w:rPr>
          <w:rFonts w:asciiTheme="majorBidi" w:hAnsiTheme="majorBidi" w:cstheme="majorBidi"/>
          <w:sz w:val="24"/>
          <w:szCs w:val="24"/>
        </w:rPr>
      </w:pPr>
    </w:p>
    <w:p w:rsidR="00277C14" w:rsidRPr="00576D58" w:rsidRDefault="00277C14" w:rsidP="00277C14">
      <w:pPr>
        <w:spacing w:line="360" w:lineRule="auto"/>
        <w:jc w:val="both"/>
        <w:rPr>
          <w:rFonts w:asciiTheme="majorBidi" w:hAnsiTheme="majorBidi" w:cstheme="majorBidi"/>
          <w:sz w:val="24"/>
          <w:szCs w:val="24"/>
          <w:rtl/>
          <w:lang w:bidi="ar-IQ"/>
        </w:rPr>
      </w:pPr>
    </w:p>
    <w:p w:rsidR="00DA6ADC" w:rsidRPr="00B6480F" w:rsidRDefault="00DA6ADC" w:rsidP="00B6480F">
      <w:pPr>
        <w:rPr>
          <w:rFonts w:asciiTheme="majorBidi" w:hAnsiTheme="majorBidi" w:cstheme="majorBidi"/>
          <w:sz w:val="24"/>
          <w:szCs w:val="24"/>
          <w:rtl/>
          <w:lang w:bidi="ar-IQ"/>
        </w:rPr>
      </w:pPr>
    </w:p>
    <w:sectPr w:rsidR="00DA6ADC" w:rsidRPr="00B6480F" w:rsidSect="00D668B2">
      <w:type w:val="continuous"/>
      <w:pgSz w:w="11906" w:h="16838"/>
      <w:pgMar w:top="1440" w:right="1800" w:bottom="1440" w:left="1800" w:header="708" w:footer="708"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B35" w:rsidRDefault="00E23B35" w:rsidP="00ED6B9E">
      <w:pPr>
        <w:spacing w:after="0" w:line="240" w:lineRule="auto"/>
      </w:pPr>
      <w:r>
        <w:separator/>
      </w:r>
    </w:p>
  </w:endnote>
  <w:endnote w:type="continuationSeparator" w:id="0">
    <w:p w:rsidR="00E23B35" w:rsidRDefault="00E23B35" w:rsidP="00ED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98"/>
      <w:docPartObj>
        <w:docPartGallery w:val="Page Numbers (Bottom of Page)"/>
        <w:docPartUnique/>
      </w:docPartObj>
    </w:sdtPr>
    <w:sdtContent>
      <w:p w:rsidR="00DC51D3" w:rsidRDefault="001E6AA7" w:rsidP="00004F5B">
        <w:pPr>
          <w:pStyle w:val="a6"/>
          <w:bidi w:val="0"/>
          <w:jc w:val="center"/>
        </w:pPr>
        <w:r w:rsidRPr="001E6AA7">
          <w:rPr>
            <w:rFonts w:asciiTheme="majorBidi" w:hAnsiTheme="majorBidi" w:cstheme="majorBidi"/>
            <w:sz w:val="20"/>
            <w:szCs w:val="20"/>
          </w:rPr>
          <w:fldChar w:fldCharType="begin"/>
        </w:r>
        <w:r w:rsidR="00121EB4" w:rsidRPr="00004F5B">
          <w:rPr>
            <w:rFonts w:asciiTheme="majorBidi" w:hAnsiTheme="majorBidi" w:cstheme="majorBidi"/>
            <w:sz w:val="20"/>
            <w:szCs w:val="20"/>
          </w:rPr>
          <w:instrText xml:space="preserve"> PAGE   \* MERGEFORMAT </w:instrText>
        </w:r>
        <w:r w:rsidRPr="001E6AA7">
          <w:rPr>
            <w:rFonts w:asciiTheme="majorBidi" w:hAnsiTheme="majorBidi" w:cstheme="majorBidi"/>
            <w:sz w:val="20"/>
            <w:szCs w:val="20"/>
          </w:rPr>
          <w:fldChar w:fldCharType="separate"/>
        </w:r>
        <w:r w:rsidR="00011AC3" w:rsidRPr="00011AC3">
          <w:rPr>
            <w:rFonts w:asciiTheme="majorBidi" w:hAnsiTheme="majorBidi" w:cs="Times New Roman"/>
            <w:noProof/>
            <w:sz w:val="20"/>
            <w:szCs w:val="20"/>
            <w:lang w:val="ar-SA"/>
          </w:rPr>
          <w:t>37</w:t>
        </w:r>
        <w:r w:rsidRPr="00004F5B">
          <w:rPr>
            <w:rFonts w:asciiTheme="majorBidi" w:hAnsiTheme="majorBidi" w:cstheme="majorBidi"/>
            <w:noProof/>
            <w:sz w:val="20"/>
            <w:szCs w:val="20"/>
            <w:lang w:val="ar-SA"/>
          </w:rPr>
          <w:fldChar w:fldCharType="end"/>
        </w:r>
      </w:p>
    </w:sdtContent>
  </w:sdt>
  <w:p w:rsidR="00DC51D3" w:rsidRDefault="00DC51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B35" w:rsidRDefault="00E23B35" w:rsidP="00ED6B9E">
      <w:pPr>
        <w:spacing w:after="0" w:line="240" w:lineRule="auto"/>
      </w:pPr>
      <w:r>
        <w:separator/>
      </w:r>
    </w:p>
  </w:footnote>
  <w:footnote w:type="continuationSeparator" w:id="0">
    <w:p w:rsidR="00E23B35" w:rsidRDefault="00E23B35" w:rsidP="00ED6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B2" w:rsidRDefault="00D668B2" w:rsidP="00D668B2">
    <w:pPr>
      <w:pStyle w:val="a5"/>
      <w:bidi w:val="0"/>
      <w:rPr>
        <w:lang w:bidi="ar-IQ"/>
      </w:rPr>
    </w:pPr>
    <w:r w:rsidRPr="00F8760C">
      <w:rPr>
        <w:rFonts w:ascii="Times New Roman" w:eastAsia="Calibri" w:hAnsi="Times New Roman" w:cs="Times New Roman"/>
        <w:b/>
        <w:bCs/>
        <w:sz w:val="20"/>
        <w:szCs w:val="20"/>
        <w:u w:val="single"/>
        <w:lang w:bidi="ar-JO"/>
      </w:rPr>
      <w:t xml:space="preserve">Medical Journal of Babylon-Vol. </w:t>
    </w:r>
    <w:r w:rsidRPr="00F8760C">
      <w:rPr>
        <w:rFonts w:ascii="Times New Roman" w:eastAsia="Calibri" w:hAnsi="Times New Roman" w:cs="Times New Roman"/>
        <w:b/>
        <w:bCs/>
        <w:sz w:val="20"/>
        <w:szCs w:val="20"/>
        <w:u w:val="single"/>
        <w:lang w:val="en-IN" w:bidi="ar-JO"/>
      </w:rPr>
      <w:t>1</w:t>
    </w:r>
    <w:r>
      <w:rPr>
        <w:rFonts w:ascii="Times New Roman" w:eastAsia="Calibri" w:hAnsi="Times New Roman" w:cs="Times New Roman"/>
        <w:b/>
        <w:bCs/>
        <w:sz w:val="20"/>
        <w:szCs w:val="20"/>
        <w:u w:val="single"/>
        <w:lang w:val="en-IN" w:bidi="ar-JO"/>
      </w:rPr>
      <w:t>1</w:t>
    </w:r>
    <w:r w:rsidRPr="00F8760C">
      <w:rPr>
        <w:rFonts w:ascii="Times New Roman" w:eastAsia="Calibri" w:hAnsi="Times New Roman" w:cs="Times New Roman"/>
        <w:b/>
        <w:bCs/>
        <w:sz w:val="20"/>
        <w:szCs w:val="20"/>
        <w:u w:val="single"/>
        <w:lang w:bidi="ar-JO"/>
      </w:rPr>
      <w:t xml:space="preserve">- No. </w:t>
    </w:r>
    <w:r>
      <w:rPr>
        <w:rFonts w:ascii="Times New Roman" w:eastAsia="Calibri" w:hAnsi="Times New Roman" w:cs="Times New Roman"/>
        <w:b/>
        <w:bCs/>
        <w:sz w:val="20"/>
        <w:szCs w:val="20"/>
        <w:u w:val="single"/>
        <w:lang w:val="en-IN" w:bidi="ar-JO"/>
      </w:rPr>
      <w:t>1</w:t>
    </w:r>
    <w:r w:rsidRPr="00F8760C">
      <w:rPr>
        <w:rFonts w:ascii="Times New Roman" w:eastAsia="Calibri" w:hAnsi="Times New Roman" w:cs="Times New Roman"/>
        <w:b/>
        <w:bCs/>
        <w:sz w:val="20"/>
        <w:szCs w:val="20"/>
        <w:u w:val="single"/>
        <w:lang w:bidi="ar-JO"/>
      </w:rPr>
      <w:t xml:space="preserve"> -201</w:t>
    </w:r>
    <w:r>
      <w:rPr>
        <w:rFonts w:ascii="Times New Roman" w:eastAsia="Calibri" w:hAnsi="Times New Roman" w:cs="Times New Roman"/>
        <w:b/>
        <w:bCs/>
        <w:sz w:val="20"/>
        <w:szCs w:val="20"/>
        <w:u w:val="single"/>
        <w:lang w:val="en-IN" w:bidi="ar-JO"/>
      </w:rPr>
      <w:t>4</w:t>
    </w:r>
    <w:r>
      <w:rPr>
        <w:rFonts w:ascii="Times New Roman" w:eastAsia="Calibri" w:hAnsi="Times New Roman" w:cs="Times New Roman"/>
        <w:b/>
        <w:bCs/>
        <w:sz w:val="20"/>
        <w:szCs w:val="20"/>
        <w:u w:val="single"/>
        <w:lang w:bidi="ar-JO"/>
      </w:rPr>
      <w:t xml:space="preserve"> </w:t>
    </w:r>
    <w:r w:rsidRPr="00F8760C">
      <w:rPr>
        <w:rFonts w:ascii="Times New Roman" w:eastAsia="Calibri" w:hAnsi="Times New Roman" w:cs="Times New Roman"/>
        <w:b/>
        <w:bCs/>
        <w:sz w:val="20"/>
        <w:szCs w:val="20"/>
        <w:u w:val="single"/>
        <w:lang w:bidi="ar-JO"/>
      </w:rPr>
      <w:t xml:space="preserve">     </w:t>
    </w:r>
    <w:r w:rsidRPr="00F8760C">
      <w:rPr>
        <w:rFonts w:ascii="Times New Roman" w:eastAsia="Calibri" w:hAnsi="Times New Roman" w:cs="Times New Roman"/>
        <w:b/>
        <w:bCs/>
        <w:sz w:val="20"/>
        <w:szCs w:val="20"/>
        <w:u w:val="single"/>
        <w:rtl/>
        <w:lang w:bidi="ar-JO"/>
      </w:rPr>
      <w:t xml:space="preserve"> مجلة بابل الطبية- المجلد ال</w:t>
    </w:r>
    <w:r>
      <w:rPr>
        <w:rFonts w:ascii="Times New Roman" w:eastAsia="Calibri" w:hAnsi="Times New Roman" w:cs="Times New Roman" w:hint="cs"/>
        <w:b/>
        <w:bCs/>
        <w:sz w:val="20"/>
        <w:szCs w:val="20"/>
        <w:u w:val="single"/>
        <w:rtl/>
        <w:lang w:bidi="ar-JO"/>
      </w:rPr>
      <w:t xml:space="preserve">حادي عشر </w:t>
    </w:r>
    <w:r w:rsidRPr="00F8760C">
      <w:rPr>
        <w:rFonts w:ascii="Times New Roman" w:eastAsia="Calibri" w:hAnsi="Times New Roman" w:cs="Times New Roman"/>
        <w:b/>
        <w:bCs/>
        <w:sz w:val="20"/>
        <w:szCs w:val="20"/>
        <w:u w:val="single"/>
        <w:rtl/>
        <w:lang w:bidi="ar-JO"/>
      </w:rPr>
      <w:t xml:space="preserve">- العدد </w:t>
    </w:r>
    <w:proofErr w:type="spellStart"/>
    <w:r>
      <w:rPr>
        <w:rFonts w:ascii="Times New Roman" w:eastAsia="Calibri" w:hAnsi="Times New Roman" w:cs="Times New Roman" w:hint="cs"/>
        <w:b/>
        <w:bCs/>
        <w:sz w:val="20"/>
        <w:szCs w:val="20"/>
        <w:u w:val="single"/>
        <w:rtl/>
        <w:lang w:bidi="ar-JO"/>
      </w:rPr>
      <w:t>الأ</w:t>
    </w:r>
    <w:proofErr w:type="spellEnd"/>
    <w:r>
      <w:rPr>
        <w:rFonts w:ascii="Times New Roman" w:eastAsia="Calibri" w:hAnsi="Times New Roman" w:cs="Times New Roman" w:hint="cs"/>
        <w:b/>
        <w:bCs/>
        <w:sz w:val="20"/>
        <w:szCs w:val="20"/>
        <w:u w:val="single"/>
        <w:rtl/>
        <w:lang w:bidi="ar-IQ"/>
      </w:rPr>
      <w:t>ول</w:t>
    </w:r>
    <w:proofErr w:type="spellStart"/>
    <w:r w:rsidRPr="00F8760C">
      <w:rPr>
        <w:rFonts w:ascii="Times New Roman" w:eastAsia="Calibri" w:hAnsi="Times New Roman" w:cs="Times New Roman"/>
        <w:b/>
        <w:bCs/>
        <w:sz w:val="20"/>
        <w:szCs w:val="20"/>
        <w:u w:val="single"/>
        <w:rtl/>
        <w:lang w:bidi="ar-JO"/>
      </w:rPr>
      <w:t>-</w:t>
    </w:r>
    <w:proofErr w:type="spellEnd"/>
    <w:r w:rsidRPr="00F8760C">
      <w:rPr>
        <w:rFonts w:ascii="Times New Roman" w:eastAsia="Calibri" w:hAnsi="Times New Roman" w:cs="Times New Roman"/>
        <w:b/>
        <w:bCs/>
        <w:sz w:val="20"/>
        <w:szCs w:val="20"/>
        <w:u w:val="single"/>
        <w:rtl/>
        <w:lang w:bidi="ar-JO"/>
      </w:rPr>
      <w:t xml:space="preserve"> 201</w:t>
    </w:r>
    <w:r>
      <w:rPr>
        <w:rFonts w:ascii="Times New Roman" w:eastAsia="Calibri" w:hAnsi="Times New Roman" w:cs="Times New Roman" w:hint="cs"/>
        <w:b/>
        <w:bCs/>
        <w:sz w:val="20"/>
        <w:szCs w:val="20"/>
        <w:u w:val="single"/>
        <w:rtl/>
        <w:lang w:bidi="ar-IQ"/>
      </w:rPr>
      <w:t>4</w:t>
    </w:r>
  </w:p>
  <w:p w:rsidR="00D668B2" w:rsidRDefault="00680E6F" w:rsidP="00680E6F">
    <w:pPr>
      <w:pStyle w:val="a5"/>
      <w:tabs>
        <w:tab w:val="clear" w:pos="4153"/>
        <w:tab w:val="clear" w:pos="8306"/>
        <w:tab w:val="left" w:pos="5092"/>
      </w:tabs>
      <w:bidi w:val="0"/>
      <w:rPr>
        <w:lang w:bidi="ar-IQ"/>
      </w:rPr>
    </w:pPr>
    <w:r>
      <w:rPr>
        <w:lang w:bidi="ar-IQ"/>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6055F"/>
    <w:multiLevelType w:val="hybridMultilevel"/>
    <w:tmpl w:val="C0A879A2"/>
    <w:lvl w:ilvl="0" w:tplc="3BC43C9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526B1839"/>
    <w:multiLevelType w:val="hybridMultilevel"/>
    <w:tmpl w:val="D1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274E7"/>
    <w:multiLevelType w:val="hybridMultilevel"/>
    <w:tmpl w:val="9836C8C0"/>
    <w:lvl w:ilvl="0" w:tplc="8A02E1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useFELayout/>
  </w:compat>
  <w:rsids>
    <w:rsidRoot w:val="00B7483A"/>
    <w:rsid w:val="00004F5B"/>
    <w:rsid w:val="00011AC3"/>
    <w:rsid w:val="00042769"/>
    <w:rsid w:val="000D1AA4"/>
    <w:rsid w:val="000E3645"/>
    <w:rsid w:val="000F7E66"/>
    <w:rsid w:val="001136C5"/>
    <w:rsid w:val="00121EB4"/>
    <w:rsid w:val="001237A1"/>
    <w:rsid w:val="00132A7C"/>
    <w:rsid w:val="001B6093"/>
    <w:rsid w:val="001C2614"/>
    <w:rsid w:val="001D035E"/>
    <w:rsid w:val="001D2BB3"/>
    <w:rsid w:val="001E2AD8"/>
    <w:rsid w:val="001E6AA7"/>
    <w:rsid w:val="001F11DD"/>
    <w:rsid w:val="002349A0"/>
    <w:rsid w:val="00243520"/>
    <w:rsid w:val="0026578F"/>
    <w:rsid w:val="00277C14"/>
    <w:rsid w:val="00280784"/>
    <w:rsid w:val="00292C82"/>
    <w:rsid w:val="002E2980"/>
    <w:rsid w:val="00314732"/>
    <w:rsid w:val="00314E20"/>
    <w:rsid w:val="0033573A"/>
    <w:rsid w:val="003358BE"/>
    <w:rsid w:val="00362428"/>
    <w:rsid w:val="0038620E"/>
    <w:rsid w:val="003D4DA5"/>
    <w:rsid w:val="003D7A24"/>
    <w:rsid w:val="003E6FFF"/>
    <w:rsid w:val="004425DF"/>
    <w:rsid w:val="0045051D"/>
    <w:rsid w:val="004859D6"/>
    <w:rsid w:val="00485E20"/>
    <w:rsid w:val="004956EE"/>
    <w:rsid w:val="004963F4"/>
    <w:rsid w:val="004D4DF5"/>
    <w:rsid w:val="005428B5"/>
    <w:rsid w:val="00547EE9"/>
    <w:rsid w:val="00576D58"/>
    <w:rsid w:val="0058360F"/>
    <w:rsid w:val="005C39E3"/>
    <w:rsid w:val="005D2732"/>
    <w:rsid w:val="00680E6F"/>
    <w:rsid w:val="006D2ED4"/>
    <w:rsid w:val="006E2FD3"/>
    <w:rsid w:val="006F12A3"/>
    <w:rsid w:val="006F1FF1"/>
    <w:rsid w:val="006F6331"/>
    <w:rsid w:val="00793305"/>
    <w:rsid w:val="007A7BC5"/>
    <w:rsid w:val="007C3A10"/>
    <w:rsid w:val="007D2B17"/>
    <w:rsid w:val="00831109"/>
    <w:rsid w:val="00853480"/>
    <w:rsid w:val="0086593D"/>
    <w:rsid w:val="008806B0"/>
    <w:rsid w:val="00885E84"/>
    <w:rsid w:val="008F0B89"/>
    <w:rsid w:val="0090363F"/>
    <w:rsid w:val="009038DA"/>
    <w:rsid w:val="009165E3"/>
    <w:rsid w:val="00922B80"/>
    <w:rsid w:val="00924BD5"/>
    <w:rsid w:val="009D7336"/>
    <w:rsid w:val="00A052CB"/>
    <w:rsid w:val="00A07FE1"/>
    <w:rsid w:val="00A1140E"/>
    <w:rsid w:val="00A308ED"/>
    <w:rsid w:val="00AA26A3"/>
    <w:rsid w:val="00AC5FF9"/>
    <w:rsid w:val="00AD2C63"/>
    <w:rsid w:val="00AD765C"/>
    <w:rsid w:val="00AF3EE9"/>
    <w:rsid w:val="00B034CB"/>
    <w:rsid w:val="00B07B40"/>
    <w:rsid w:val="00B12E42"/>
    <w:rsid w:val="00B157F0"/>
    <w:rsid w:val="00B504A9"/>
    <w:rsid w:val="00B5499F"/>
    <w:rsid w:val="00B60A91"/>
    <w:rsid w:val="00B6480F"/>
    <w:rsid w:val="00B7483A"/>
    <w:rsid w:val="00BA2F10"/>
    <w:rsid w:val="00BE10F7"/>
    <w:rsid w:val="00C24C3F"/>
    <w:rsid w:val="00C4714F"/>
    <w:rsid w:val="00C72C5F"/>
    <w:rsid w:val="00C77610"/>
    <w:rsid w:val="00CB4822"/>
    <w:rsid w:val="00CC6F70"/>
    <w:rsid w:val="00CD3083"/>
    <w:rsid w:val="00CE2CAC"/>
    <w:rsid w:val="00D24F1C"/>
    <w:rsid w:val="00D338BE"/>
    <w:rsid w:val="00D668B2"/>
    <w:rsid w:val="00D84B46"/>
    <w:rsid w:val="00D85404"/>
    <w:rsid w:val="00D9248D"/>
    <w:rsid w:val="00DA264B"/>
    <w:rsid w:val="00DA6ADC"/>
    <w:rsid w:val="00DC51D3"/>
    <w:rsid w:val="00E01ED3"/>
    <w:rsid w:val="00E23B35"/>
    <w:rsid w:val="00E7385E"/>
    <w:rsid w:val="00EC2C3B"/>
    <w:rsid w:val="00ED279B"/>
    <w:rsid w:val="00ED6B9E"/>
    <w:rsid w:val="00F30B47"/>
    <w:rsid w:val="00F35B8F"/>
    <w:rsid w:val="00FC25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2C6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D2C63"/>
    <w:rPr>
      <w:rFonts w:ascii="Tahoma" w:hAnsi="Tahoma" w:cs="Tahoma"/>
      <w:sz w:val="16"/>
      <w:szCs w:val="16"/>
    </w:rPr>
  </w:style>
  <w:style w:type="paragraph" w:styleId="a4">
    <w:name w:val="List Paragraph"/>
    <w:basedOn w:val="a"/>
    <w:uiPriority w:val="34"/>
    <w:qFormat/>
    <w:rsid w:val="00BA2F10"/>
    <w:pPr>
      <w:ind w:left="720"/>
      <w:contextualSpacing/>
    </w:pPr>
  </w:style>
  <w:style w:type="paragraph" w:styleId="a5">
    <w:name w:val="header"/>
    <w:basedOn w:val="a"/>
    <w:link w:val="Char0"/>
    <w:uiPriority w:val="99"/>
    <w:unhideWhenUsed/>
    <w:rsid w:val="00ED6B9E"/>
    <w:pPr>
      <w:tabs>
        <w:tab w:val="center" w:pos="4153"/>
        <w:tab w:val="right" w:pos="8306"/>
      </w:tabs>
      <w:spacing w:after="0" w:line="240" w:lineRule="auto"/>
    </w:pPr>
  </w:style>
  <w:style w:type="character" w:customStyle="1" w:styleId="Char0">
    <w:name w:val="رأس صفحة Char"/>
    <w:basedOn w:val="a0"/>
    <w:link w:val="a5"/>
    <w:uiPriority w:val="99"/>
    <w:rsid w:val="00ED6B9E"/>
  </w:style>
  <w:style w:type="paragraph" w:styleId="a6">
    <w:name w:val="footer"/>
    <w:basedOn w:val="a"/>
    <w:link w:val="Char1"/>
    <w:uiPriority w:val="99"/>
    <w:unhideWhenUsed/>
    <w:rsid w:val="00ED6B9E"/>
    <w:pPr>
      <w:tabs>
        <w:tab w:val="center" w:pos="4153"/>
        <w:tab w:val="right" w:pos="8306"/>
      </w:tabs>
      <w:spacing w:after="0" w:line="240" w:lineRule="auto"/>
    </w:pPr>
  </w:style>
  <w:style w:type="character" w:customStyle="1" w:styleId="Char1">
    <w:name w:val="تذييل صفحة Char"/>
    <w:basedOn w:val="a0"/>
    <w:link w:val="a6"/>
    <w:uiPriority w:val="99"/>
    <w:rsid w:val="00ED6B9E"/>
  </w:style>
  <w:style w:type="character" w:styleId="HTML">
    <w:name w:val="HTML Cite"/>
    <w:basedOn w:val="a0"/>
    <w:uiPriority w:val="99"/>
    <w:semiHidden/>
    <w:unhideWhenUsed/>
    <w:rsid w:val="00A07FE1"/>
    <w:rPr>
      <w:i/>
      <w:iCs/>
    </w:rPr>
  </w:style>
  <w:style w:type="character" w:customStyle="1" w:styleId="slug-vol">
    <w:name w:val="slug-vol"/>
    <w:basedOn w:val="a0"/>
    <w:rsid w:val="00A07FE1"/>
  </w:style>
  <w:style w:type="character" w:customStyle="1" w:styleId="slug-issue">
    <w:name w:val="slug-issue"/>
    <w:basedOn w:val="a0"/>
    <w:rsid w:val="00A07FE1"/>
  </w:style>
  <w:style w:type="character" w:customStyle="1" w:styleId="slug-pages">
    <w:name w:val="slug-pages"/>
    <w:basedOn w:val="a0"/>
    <w:rsid w:val="00A07FE1"/>
  </w:style>
  <w:style w:type="character" w:customStyle="1" w:styleId="st">
    <w:name w:val="st"/>
    <w:basedOn w:val="a0"/>
    <w:rsid w:val="00A07FE1"/>
  </w:style>
  <w:style w:type="character" w:styleId="a7">
    <w:name w:val="Emphasis"/>
    <w:basedOn w:val="a0"/>
    <w:uiPriority w:val="20"/>
    <w:qFormat/>
    <w:rsid w:val="00042769"/>
    <w:rPr>
      <w:i/>
      <w:iCs/>
    </w:rPr>
  </w:style>
  <w:style w:type="character" w:styleId="Hyperlink">
    <w:name w:val="Hyperlink"/>
    <w:basedOn w:val="a0"/>
    <w:uiPriority w:val="99"/>
    <w:semiHidden/>
    <w:unhideWhenUsed/>
    <w:rsid w:val="009165E3"/>
    <w:rPr>
      <w:color w:val="0000FF"/>
      <w:u w:val="single"/>
    </w:rPr>
  </w:style>
  <w:style w:type="character" w:customStyle="1" w:styleId="abscitationtitle">
    <w:name w:val="abs_citation_title"/>
    <w:basedOn w:val="a0"/>
    <w:rsid w:val="009165E3"/>
  </w:style>
  <w:style w:type="character" w:customStyle="1" w:styleId="absnonlinkmetadata">
    <w:name w:val="abs_nonlink_metadata"/>
    <w:basedOn w:val="a0"/>
    <w:rsid w:val="00916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Mohapatra%20A%5Bauth%5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Basu%20G%5Bauth%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europepmc.org/search/;jsessionid=MsyNiyeJWf4AfWyInl2I.22?page=1&amp;query=ISSN:%221121-8428%2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uropepmc.org/search/;jsessionid=MsyNiyeJWf4AfWyInl2I.22?page=1&amp;query=AUTH:%22Iglesias+P%22"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A230C-B220-4BC3-A4F6-DB28D8CA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9</Pages>
  <Words>3416</Words>
  <Characters>19472</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Dr.Abdulsamie</cp:lastModifiedBy>
  <cp:revision>19</cp:revision>
  <cp:lastPrinted>2013-09-18T18:36:00Z</cp:lastPrinted>
  <dcterms:created xsi:type="dcterms:W3CDTF">2013-09-10T20:09:00Z</dcterms:created>
  <dcterms:modified xsi:type="dcterms:W3CDTF">2014-04-29T21:13:00Z</dcterms:modified>
</cp:coreProperties>
</file>