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578" w:rsidRPr="00362514" w:rsidRDefault="006E7578" w:rsidP="006E7578">
      <w:pPr>
        <w:jc w:val="lowKashida"/>
        <w:rPr>
          <w:rFonts w:cs="Simplified Arabic" w:hint="cs"/>
          <w:b/>
          <w:bCs/>
          <w:sz w:val="40"/>
          <w:szCs w:val="40"/>
          <w:rtl/>
          <w:lang w:bidi="ar-IQ"/>
        </w:rPr>
      </w:pPr>
      <w:r w:rsidRPr="00362514">
        <w:rPr>
          <w:rFonts w:cs="Simplified Arabic" w:hint="cs"/>
          <w:b/>
          <w:bCs/>
          <w:sz w:val="40"/>
          <w:szCs w:val="40"/>
          <w:rtl/>
          <w:lang w:bidi="ar-IQ"/>
        </w:rPr>
        <w:t>تاسعا: المحاضرة التاسعة</w:t>
      </w:r>
    </w:p>
    <w:p w:rsidR="006E7578" w:rsidRPr="005B69D2" w:rsidRDefault="006E7578" w:rsidP="006E7578">
      <w:pPr>
        <w:jc w:val="lowKashida"/>
        <w:rPr>
          <w:rFonts w:cs="Simplified Arabic"/>
          <w:b/>
          <w:bCs/>
          <w:sz w:val="28"/>
          <w:szCs w:val="28"/>
          <w:lang w:bidi="ar-IQ"/>
        </w:rPr>
      </w:pPr>
      <w:r w:rsidRPr="005B69D2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عناصر </w:t>
      </w:r>
      <w:proofErr w:type="spellStart"/>
      <w:r w:rsidRPr="005B69D2">
        <w:rPr>
          <w:rFonts w:cs="Simplified Arabic" w:hint="cs"/>
          <w:b/>
          <w:bCs/>
          <w:sz w:val="28"/>
          <w:szCs w:val="28"/>
          <w:rtl/>
          <w:lang w:bidi="ar-IQ"/>
        </w:rPr>
        <w:t>دينمنج</w:t>
      </w:r>
      <w:proofErr w:type="spellEnd"/>
      <w:r w:rsidRPr="005B69D2">
        <w:rPr>
          <w:rFonts w:cs="Simplified Arabic" w:hint="cs"/>
          <w:b/>
          <w:bCs/>
          <w:sz w:val="28"/>
          <w:szCs w:val="28"/>
          <w:rtl/>
          <w:lang w:bidi="ar-IQ"/>
        </w:rPr>
        <w:t xml:space="preserve"> الأربعة عشر  </w:t>
      </w:r>
      <w:proofErr w:type="spellStart"/>
      <w:r w:rsidRPr="005B69D2">
        <w:rPr>
          <w:rFonts w:cs="Simplified Arabic"/>
          <w:b/>
          <w:bCs/>
          <w:sz w:val="28"/>
          <w:szCs w:val="28"/>
        </w:rPr>
        <w:t>W.Edward</w:t>
      </w:r>
      <w:proofErr w:type="spellEnd"/>
      <w:r w:rsidRPr="005B69D2">
        <w:rPr>
          <w:rFonts w:cs="Simplified Arabic"/>
          <w:b/>
          <w:bCs/>
          <w:sz w:val="28"/>
          <w:szCs w:val="28"/>
        </w:rPr>
        <w:t xml:space="preserve"> Deming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rtl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>خلق انسيابية الغرض مع الخطة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>تبني الفلسفة الجديدة للجودة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>التوقف عن الاعتماد على الفحص ( التفتيش ) الواسع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 xml:space="preserve">إنهاء </w:t>
      </w:r>
      <w:proofErr w:type="spellStart"/>
      <w:r w:rsidRPr="005B69D2">
        <w:rPr>
          <w:rFonts w:cs="Simplified Arabic" w:hint="cs"/>
          <w:sz w:val="28"/>
          <w:szCs w:val="28"/>
          <w:rtl/>
          <w:lang w:bidi="ar-IQ"/>
        </w:rPr>
        <w:t>اسلوب</w:t>
      </w:r>
      <w:proofErr w:type="spellEnd"/>
      <w:r w:rsidRPr="005B69D2">
        <w:rPr>
          <w:rFonts w:cs="Simplified Arabic" w:hint="cs"/>
          <w:sz w:val="28"/>
          <w:szCs w:val="28"/>
          <w:rtl/>
          <w:lang w:bidi="ar-IQ"/>
        </w:rPr>
        <w:t xml:space="preserve"> اختيار المجهزين على أساس السعر فقط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>متابعة المشكلات والعمل باستمرار من اجل تحسين النظام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 xml:space="preserve">تبني طرائق التدريب الحديثة في العمل . 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 xml:space="preserve">تغير التوجه من الإنتاج الكمي </w:t>
      </w:r>
      <w:proofErr w:type="spellStart"/>
      <w:r w:rsidRPr="005B69D2">
        <w:rPr>
          <w:rFonts w:cs="Simplified Arabic" w:hint="cs"/>
          <w:sz w:val="28"/>
          <w:szCs w:val="28"/>
          <w:rtl/>
          <w:lang w:bidi="ar-IQ"/>
        </w:rPr>
        <w:t>الى</w:t>
      </w:r>
      <w:proofErr w:type="spellEnd"/>
      <w:r w:rsidRPr="005B69D2">
        <w:rPr>
          <w:rFonts w:cs="Simplified Arabic" w:hint="cs"/>
          <w:sz w:val="28"/>
          <w:szCs w:val="28"/>
          <w:rtl/>
          <w:lang w:bidi="ar-IQ"/>
        </w:rPr>
        <w:t xml:space="preserve"> النوعي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>التخلص من الخوف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>إزالة الحواجز التي تحرم المستخدمين من الافتخار بعملهم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>التوقف من المطالبة بإنتاجية محسنة من دون توفير طرق تخفيضها .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 xml:space="preserve">تكوين سلوك الفريق . 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  <w:lang w:bidi="ar-IQ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 xml:space="preserve">إزالة العوائق في الاتصالات بين الإدارة العليا والعاملين . </w:t>
      </w:r>
    </w:p>
    <w:p w:rsidR="006E7578" w:rsidRPr="005B69D2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 xml:space="preserve">إرساء التعليم وإعادة التدريب . </w:t>
      </w:r>
    </w:p>
    <w:p w:rsidR="006E7578" w:rsidRDefault="006E7578" w:rsidP="006E7578">
      <w:pPr>
        <w:numPr>
          <w:ilvl w:val="0"/>
          <w:numId w:val="1"/>
        </w:numPr>
        <w:spacing w:after="0" w:line="240" w:lineRule="auto"/>
        <w:ind w:right="0"/>
        <w:jc w:val="lowKashida"/>
        <w:rPr>
          <w:rFonts w:cs="Simplified Arabic" w:hint="cs"/>
          <w:sz w:val="28"/>
          <w:szCs w:val="28"/>
        </w:rPr>
      </w:pPr>
      <w:r w:rsidRPr="005B69D2">
        <w:rPr>
          <w:rFonts w:cs="Simplified Arabic" w:hint="cs"/>
          <w:sz w:val="28"/>
          <w:szCs w:val="28"/>
          <w:rtl/>
          <w:lang w:bidi="ar-IQ"/>
        </w:rPr>
        <w:t>خلق هيكل في الإدارة العليا يؤكد على النقاط السابقة .</w:t>
      </w:r>
    </w:p>
    <w:p w:rsidR="006E7578" w:rsidRDefault="006E7578" w:rsidP="006E7578">
      <w:pPr>
        <w:ind w:right="1080"/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6E7578" w:rsidRDefault="006E7578" w:rsidP="006E7578">
      <w:pPr>
        <w:ind w:right="1080"/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6E7578" w:rsidRDefault="006E7578" w:rsidP="006E7578">
      <w:pPr>
        <w:ind w:right="1080"/>
        <w:jc w:val="lowKashida"/>
        <w:rPr>
          <w:rFonts w:cs="Simplified Arabic" w:hint="cs"/>
          <w:sz w:val="28"/>
          <w:szCs w:val="28"/>
          <w:rtl/>
          <w:lang w:bidi="ar-IQ"/>
        </w:rPr>
      </w:pPr>
    </w:p>
    <w:p w:rsidR="006E7578" w:rsidRPr="005B69D2" w:rsidRDefault="006E7578" w:rsidP="006E7578">
      <w:pPr>
        <w:ind w:right="1080"/>
        <w:jc w:val="lowKashida"/>
        <w:rPr>
          <w:rFonts w:cs="Simplified Arabic" w:hint="cs"/>
          <w:sz w:val="28"/>
          <w:szCs w:val="28"/>
          <w:rtl/>
        </w:rPr>
      </w:pPr>
    </w:p>
    <w:p w:rsidR="006E7578" w:rsidRPr="003B233F" w:rsidRDefault="006E7578" w:rsidP="006E7578">
      <w:pPr>
        <w:jc w:val="lowKashida"/>
        <w:rPr>
          <w:rFonts w:cs="Simplified Arabic" w:hint="cs"/>
          <w:rtl/>
          <w:lang w:bidi="ar-IQ"/>
        </w:rPr>
      </w:pPr>
    </w:p>
    <w:tbl>
      <w:tblPr>
        <w:bidiVisual/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0"/>
        <w:gridCol w:w="1329"/>
        <w:gridCol w:w="1085"/>
        <w:gridCol w:w="1260"/>
        <w:gridCol w:w="969"/>
        <w:gridCol w:w="1254"/>
        <w:gridCol w:w="1197"/>
        <w:gridCol w:w="1080"/>
      </w:tblGrid>
      <w:tr w:rsidR="006E7578" w:rsidRPr="003B233F" w:rsidTr="004B238B">
        <w:trPr>
          <w:cantSplit/>
          <w:trHeight w:val="1445"/>
        </w:trPr>
        <w:tc>
          <w:tcPr>
            <w:tcW w:w="780" w:type="dxa"/>
            <w:textDirection w:val="tbRl"/>
            <w:vAlign w:val="center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الكاتب</w:t>
            </w: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/>
              </w:rPr>
              <w:t>Feigenbaum</w:t>
            </w:r>
            <w:proofErr w:type="spellEnd"/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1961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  <w:r w:rsidRPr="003B233F">
              <w:rPr>
                <w:rFonts w:cs="Simplified Arabic"/>
              </w:rPr>
              <w:t>1991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lang w:bidi="ar-IQ"/>
              </w:rPr>
            </w:pP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Bain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1982</w:t>
            </w: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/>
                <w:lang w:bidi="ar-IQ"/>
              </w:rPr>
              <w:t>Vondermbse</w:t>
            </w:r>
            <w:proofErr w:type="spellEnd"/>
            <w:r w:rsidRPr="003B233F">
              <w:rPr>
                <w:rFonts w:cs="Simplified Arabic"/>
                <w:lang w:bidi="ar-IQ"/>
              </w:rPr>
              <w:t xml:space="preserve"> &amp; white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1991</w:t>
            </w: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Bound et al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1994</w:t>
            </w: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Russell &amp; Taylor III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1995</w:t>
            </w: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Adam &amp; Ebert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1996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proofErr w:type="spellStart"/>
            <w:r w:rsidRPr="003B233F">
              <w:rPr>
                <w:rFonts w:cs="Simplified Arabic"/>
                <w:lang w:bidi="ar-IQ"/>
              </w:rPr>
              <w:t>ack</w:t>
            </w:r>
            <w:proofErr w:type="spellEnd"/>
            <w:r w:rsidRPr="003B233F">
              <w:rPr>
                <w:rFonts w:cs="Simplified Arabic"/>
                <w:lang w:bidi="ar-IQ"/>
              </w:rPr>
              <w:t xml:space="preserve"> et al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1998</w:t>
            </w:r>
          </w:p>
        </w:tc>
      </w:tr>
      <w:tr w:rsidR="006E7578" w:rsidRPr="003B233F" w:rsidTr="004B238B">
        <w:trPr>
          <w:cantSplit/>
          <w:trHeight w:val="1056"/>
        </w:trPr>
        <w:tc>
          <w:tcPr>
            <w:tcW w:w="780" w:type="dxa"/>
            <w:vMerge w:val="restart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lastRenderedPageBreak/>
              <w:t>العوامل المؤثرة في الجودة</w:t>
            </w: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5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الآسواق</w:t>
            </w:r>
            <w:proofErr w:type="spellEnd"/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6.5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التصميم</w:t>
            </w: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5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تصميم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المنتوج</w:t>
            </w:r>
            <w:proofErr w:type="spellEnd"/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  <w:r w:rsidRPr="003B233F">
              <w:rPr>
                <w:rFonts w:cs="Simplified Arabic"/>
              </w:rPr>
              <w:t>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العاملون</w:t>
            </w: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6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تصميم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العملية</w:t>
            </w: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5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الزبائن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6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تصميم العملية</w:t>
            </w:r>
          </w:p>
        </w:tc>
      </w:tr>
      <w:tr w:rsidR="006E7578" w:rsidRPr="003B233F" w:rsidTr="004B238B">
        <w:trPr>
          <w:cantSplit/>
          <w:trHeight w:val="905"/>
        </w:trPr>
        <w:tc>
          <w:tcPr>
            <w:tcW w:w="780" w:type="dxa"/>
            <w:vMerge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العاملون</w:t>
            </w: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 xml:space="preserve">الانجاز أو </w:t>
            </w: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الاداء</w:t>
            </w:r>
            <w:proofErr w:type="spellEnd"/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  <w:r w:rsidRPr="003B233F">
              <w:rPr>
                <w:rFonts w:cs="Simplified Arabic"/>
              </w:rPr>
              <w:t>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تنفيذ العمل</w:t>
            </w: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4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المواد</w:t>
            </w: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3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المكائن</w:t>
            </w:r>
            <w:proofErr w:type="spellEnd"/>
            <w:r w:rsidRPr="003B233F">
              <w:rPr>
                <w:rFonts w:cs="Simplified Arabic" w:hint="cs"/>
                <w:rtl/>
                <w:lang w:bidi="ar-IQ"/>
              </w:rPr>
              <w:t xml:space="preserve"> والمعدات</w:t>
            </w: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4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المجهزون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العاملون</w:t>
            </w:r>
          </w:p>
        </w:tc>
      </w:tr>
      <w:tr w:rsidR="006E7578" w:rsidRPr="003B233F" w:rsidTr="004B238B">
        <w:trPr>
          <w:cantSplit/>
          <w:trHeight w:val="701"/>
        </w:trPr>
        <w:tc>
          <w:tcPr>
            <w:tcW w:w="780" w:type="dxa"/>
            <w:vMerge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proofErr w:type="spellStart"/>
            <w:r w:rsidRPr="003B233F">
              <w:rPr>
                <w:rFonts w:cs="Simplified Arabic" w:hint="cs"/>
                <w:rtl/>
              </w:rPr>
              <w:t>الاموال</w:t>
            </w:r>
            <w:proofErr w:type="spellEnd"/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</w:rPr>
              <w:t>الجدولة</w:t>
            </w: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6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تصميم العملية</w:t>
            </w: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3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المعدات</w:t>
            </w: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4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المواد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2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الادارة</w:t>
            </w:r>
            <w:proofErr w:type="spellEnd"/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4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المواد</w:t>
            </w:r>
          </w:p>
        </w:tc>
      </w:tr>
      <w:tr w:rsidR="006E7578" w:rsidRPr="003B233F" w:rsidTr="004B238B">
        <w:trPr>
          <w:cantSplit/>
          <w:trHeight w:val="721"/>
        </w:trPr>
        <w:tc>
          <w:tcPr>
            <w:tcW w:w="780" w:type="dxa"/>
            <w:vMerge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2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الادارة</w:t>
            </w:r>
            <w:proofErr w:type="spellEnd"/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/>
              </w:rPr>
              <w:t>4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</w:rPr>
            </w:pPr>
            <w:r w:rsidRPr="003B233F">
              <w:rPr>
                <w:rFonts w:cs="Simplified Arabic" w:hint="cs"/>
                <w:rtl/>
              </w:rPr>
              <w:t>المواد</w:t>
            </w: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7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الفحص</w:t>
            </w: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التدريب</w:t>
            </w: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4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المواد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5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الزبائن</w:t>
            </w:r>
          </w:p>
        </w:tc>
      </w:tr>
      <w:tr w:rsidR="006E7578" w:rsidRPr="003B233F" w:rsidTr="004B238B">
        <w:trPr>
          <w:cantSplit/>
          <w:trHeight w:val="1060"/>
        </w:trPr>
        <w:tc>
          <w:tcPr>
            <w:tcW w:w="780" w:type="dxa"/>
            <w:vMerge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4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المواد</w:t>
            </w: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3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المعدات</w:t>
            </w: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2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lang w:bidi="ar-IQ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الادارة</w:t>
            </w:r>
            <w:proofErr w:type="spellEnd"/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lang w:bidi="ar-IQ"/>
              </w:rPr>
            </w:pP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المشرفين</w:t>
            </w: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3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التسهيلات والعدد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3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التسهيلات</w:t>
            </w:r>
          </w:p>
        </w:tc>
      </w:tr>
      <w:tr w:rsidR="006E7578" w:rsidRPr="003B233F" w:rsidTr="004B238B">
        <w:trPr>
          <w:cantSplit/>
          <w:trHeight w:val="715"/>
        </w:trPr>
        <w:tc>
          <w:tcPr>
            <w:tcW w:w="780" w:type="dxa"/>
            <w:vMerge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3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المكائن</w:t>
            </w:r>
            <w:proofErr w:type="spellEnd"/>
            <w:r w:rsidRPr="003B233F">
              <w:rPr>
                <w:rFonts w:cs="Simplified Arabic" w:hint="cs"/>
                <w:rtl/>
                <w:lang w:bidi="ar-IQ"/>
              </w:rPr>
              <w:t xml:space="preserve"> والطرق</w:t>
            </w: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lang w:bidi="ar-IQ"/>
              </w:rPr>
            </w:pP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7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الفحص</w:t>
            </w: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7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الفحص</w:t>
            </w: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3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المعدات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3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المكائن</w:t>
            </w:r>
            <w:proofErr w:type="spellEnd"/>
            <w:r w:rsidRPr="003B233F">
              <w:rPr>
                <w:rFonts w:cs="Simplified Arabic" w:hint="cs"/>
                <w:rtl/>
                <w:lang w:bidi="ar-IQ"/>
              </w:rPr>
              <w:t xml:space="preserve"> المعدات</w:t>
            </w:r>
          </w:p>
        </w:tc>
      </w:tr>
      <w:tr w:rsidR="006E7578" w:rsidRPr="003B233F" w:rsidTr="004B238B">
        <w:trPr>
          <w:cantSplit/>
          <w:trHeight w:val="901"/>
        </w:trPr>
        <w:tc>
          <w:tcPr>
            <w:tcW w:w="780" w:type="dxa"/>
            <w:vMerge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proofErr w:type="spellStart"/>
            <w:r w:rsidRPr="003B233F">
              <w:rPr>
                <w:rFonts w:cs="Simplified Arabic" w:hint="cs"/>
                <w:rtl/>
              </w:rPr>
              <w:t>اخرى</w:t>
            </w:r>
            <w:proofErr w:type="spellEnd"/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العاملون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t>المعلومات</w:t>
            </w:r>
          </w:p>
        </w:tc>
      </w:tr>
      <w:tr w:rsidR="006E7578" w:rsidRPr="003B233F" w:rsidTr="004B238B">
        <w:trPr>
          <w:cantSplit/>
          <w:trHeight w:val="856"/>
        </w:trPr>
        <w:tc>
          <w:tcPr>
            <w:tcW w:w="780" w:type="dxa"/>
            <w:vMerge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  <w:lang w:bidi="ar-IQ"/>
              </w:rPr>
              <w:t>1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التحفيز</w:t>
            </w: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/>
              </w:rPr>
              <w:t>6</w:t>
            </w:r>
          </w:p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تصميم العملية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</w:tr>
      <w:tr w:rsidR="006E7578" w:rsidRPr="003B233F" w:rsidTr="004B238B">
        <w:trPr>
          <w:cantSplit/>
          <w:trHeight w:val="897"/>
        </w:trPr>
        <w:tc>
          <w:tcPr>
            <w:tcW w:w="780" w:type="dxa"/>
            <w:vMerge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</w:rPr>
              <w:t xml:space="preserve">طرائق المعلومات </w:t>
            </w:r>
            <w:proofErr w:type="spellStart"/>
            <w:r w:rsidRPr="003B233F">
              <w:rPr>
                <w:rFonts w:cs="Simplified Arabic" w:hint="cs"/>
                <w:rtl/>
              </w:rPr>
              <w:t>الديثة</w:t>
            </w:r>
            <w:proofErr w:type="spellEnd"/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</w:tr>
      <w:tr w:rsidR="006E7578" w:rsidRPr="003B233F" w:rsidTr="004B238B">
        <w:trPr>
          <w:cantSplit/>
          <w:trHeight w:val="1248"/>
        </w:trPr>
        <w:tc>
          <w:tcPr>
            <w:tcW w:w="7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t xml:space="preserve">العوامل المتفق عليها </w:t>
            </w: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</w:rPr>
              <w:t xml:space="preserve">العاملون </w:t>
            </w:r>
            <w:r w:rsidRPr="003B233F">
              <w:rPr>
                <w:rFonts w:cs="Simplified Arabic"/>
              </w:rPr>
              <w:t>1</w:t>
            </w: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الادارة</w:t>
            </w:r>
            <w:proofErr w:type="spellEnd"/>
            <w:r w:rsidRPr="003B233F">
              <w:rPr>
                <w:rFonts w:cs="Simplified Arabic" w:hint="cs"/>
                <w:rtl/>
                <w:lang w:bidi="ar-IQ"/>
              </w:rPr>
              <w:t xml:space="preserve"> </w:t>
            </w:r>
            <w:r w:rsidRPr="003B233F">
              <w:rPr>
                <w:rFonts w:cs="Simplified Arabic"/>
              </w:rPr>
              <w:t>2</w:t>
            </w: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المكائن</w:t>
            </w:r>
            <w:proofErr w:type="spellEnd"/>
            <w:r w:rsidRPr="003B233F">
              <w:rPr>
                <w:rFonts w:cs="Simplified Arabic" w:hint="cs"/>
                <w:rtl/>
                <w:lang w:bidi="ar-IQ"/>
              </w:rPr>
              <w:t xml:space="preserve"> والمعدات </w:t>
            </w:r>
            <w:r w:rsidRPr="003B233F">
              <w:rPr>
                <w:rFonts w:cs="Simplified Arabic"/>
              </w:rPr>
              <w:t>3</w:t>
            </w: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 xml:space="preserve">المواد </w:t>
            </w:r>
            <w:r w:rsidRPr="003B233F">
              <w:rPr>
                <w:rFonts w:cs="Simplified Arabic"/>
              </w:rPr>
              <w:t>4</w:t>
            </w: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 xml:space="preserve">تصميم </w:t>
            </w:r>
            <w:proofErr w:type="spellStart"/>
            <w:r w:rsidRPr="003B233F">
              <w:rPr>
                <w:rFonts w:cs="Simplified Arabic" w:hint="cs"/>
                <w:rtl/>
                <w:lang w:bidi="ar-IQ"/>
              </w:rPr>
              <w:t>المنتوج</w:t>
            </w:r>
            <w:proofErr w:type="spellEnd"/>
            <w:r w:rsidRPr="003B233F">
              <w:rPr>
                <w:rFonts w:cs="Simplified Arabic" w:hint="cs"/>
                <w:rtl/>
                <w:lang w:bidi="ar-IQ"/>
              </w:rPr>
              <w:t xml:space="preserve"> </w:t>
            </w:r>
            <w:r w:rsidRPr="003B233F">
              <w:rPr>
                <w:rFonts w:cs="Simplified Arabic"/>
              </w:rPr>
              <w:t>5</w:t>
            </w: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>تصميم العملية</w:t>
            </w:r>
            <w:r w:rsidRPr="003B233F">
              <w:rPr>
                <w:rFonts w:cs="Simplified Arabic"/>
              </w:rPr>
              <w:t>6</w:t>
            </w: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  <w:r w:rsidRPr="003B233F">
              <w:rPr>
                <w:rFonts w:cs="Simplified Arabic" w:hint="cs"/>
                <w:rtl/>
                <w:lang w:bidi="ar-IQ"/>
              </w:rPr>
              <w:t xml:space="preserve">الفحص </w:t>
            </w:r>
            <w:r w:rsidRPr="003B233F">
              <w:rPr>
                <w:rFonts w:cs="Simplified Arabic"/>
              </w:rPr>
              <w:t>7</w:t>
            </w:r>
          </w:p>
        </w:tc>
      </w:tr>
      <w:tr w:rsidR="006E7578" w:rsidRPr="003B233F" w:rsidTr="004B238B">
        <w:trPr>
          <w:cantSplit/>
          <w:trHeight w:val="1262"/>
        </w:trPr>
        <w:tc>
          <w:tcPr>
            <w:tcW w:w="7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t>العوامل التي لم تحصل على أتفاق بين الكتاب</w:t>
            </w:r>
          </w:p>
        </w:tc>
        <w:tc>
          <w:tcPr>
            <w:tcW w:w="132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t>الأموال</w:t>
            </w:r>
          </w:p>
        </w:tc>
        <w:tc>
          <w:tcPr>
            <w:tcW w:w="1085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t>أخرى</w:t>
            </w:r>
          </w:p>
        </w:tc>
        <w:tc>
          <w:tcPr>
            <w:tcW w:w="126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t>طرائق المعلومات الحديثة</w:t>
            </w:r>
          </w:p>
        </w:tc>
        <w:tc>
          <w:tcPr>
            <w:tcW w:w="969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t>المشرفون</w:t>
            </w:r>
          </w:p>
        </w:tc>
        <w:tc>
          <w:tcPr>
            <w:tcW w:w="1254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</w:rPr>
            </w:pPr>
            <w:r w:rsidRPr="003B233F">
              <w:rPr>
                <w:rFonts w:cs="Simplified Arabic" w:hint="cs"/>
                <w:rtl/>
              </w:rPr>
              <w:t>الجدولة</w:t>
            </w:r>
          </w:p>
        </w:tc>
        <w:tc>
          <w:tcPr>
            <w:tcW w:w="1197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 w:hint="cs"/>
                <w:rtl/>
                <w:lang w:bidi="ar-IQ"/>
              </w:rPr>
            </w:pPr>
          </w:p>
        </w:tc>
        <w:tc>
          <w:tcPr>
            <w:tcW w:w="1080" w:type="dxa"/>
            <w:textDirection w:val="tbRl"/>
          </w:tcPr>
          <w:p w:rsidR="006E7578" w:rsidRPr="003B233F" w:rsidRDefault="006E7578" w:rsidP="004B238B">
            <w:pPr>
              <w:ind w:left="113" w:right="113"/>
              <w:jc w:val="lowKashida"/>
              <w:rPr>
                <w:rFonts w:cs="Simplified Arabic"/>
                <w:rtl/>
              </w:rPr>
            </w:pPr>
          </w:p>
        </w:tc>
      </w:tr>
      <w:tr w:rsidR="006E7578" w:rsidRPr="003B233F" w:rsidTr="004B238B">
        <w:trPr>
          <w:trHeight w:val="70"/>
        </w:trPr>
        <w:tc>
          <w:tcPr>
            <w:tcW w:w="8954" w:type="dxa"/>
            <w:gridSpan w:val="8"/>
            <w:tcBorders>
              <w:left w:val="nil"/>
              <w:bottom w:val="nil"/>
              <w:right w:val="nil"/>
            </w:tcBorders>
          </w:tcPr>
          <w:p w:rsidR="006E7578" w:rsidRPr="003B233F" w:rsidRDefault="006E7578" w:rsidP="004B238B">
            <w:pPr>
              <w:jc w:val="lowKashida"/>
              <w:rPr>
                <w:rFonts w:cs="Simplified Arabic" w:hint="cs"/>
                <w:b/>
                <w:bCs/>
                <w:rtl/>
                <w:lang w:bidi="ar-IQ"/>
              </w:rPr>
            </w:pPr>
            <w:r w:rsidRPr="003B233F">
              <w:rPr>
                <w:rFonts w:cs="Simplified Arabic" w:hint="cs"/>
                <w:b/>
                <w:bCs/>
                <w:rtl/>
                <w:lang w:bidi="ar-IQ"/>
              </w:rPr>
              <w:t>جدول  (1) العوامل المؤثرة في الجودة</w:t>
            </w:r>
          </w:p>
        </w:tc>
      </w:tr>
    </w:tbl>
    <w:p w:rsidR="00806984" w:rsidRPr="006E7578" w:rsidRDefault="00806984"/>
    <w:sectPr w:rsidR="00806984" w:rsidRPr="006E757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65954"/>
    <w:multiLevelType w:val="hybridMultilevel"/>
    <w:tmpl w:val="863C1EEC"/>
    <w:lvl w:ilvl="0" w:tplc="38D0D3EA">
      <w:start w:val="1"/>
      <w:numFmt w:val="decimal"/>
      <w:lvlText w:val="%1-"/>
      <w:lvlJc w:val="left"/>
      <w:pPr>
        <w:tabs>
          <w:tab w:val="num" w:pos="1080"/>
        </w:tabs>
        <w:ind w:left="1080" w:righ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>
    <w:useFELayout/>
  </w:compat>
  <w:rsids>
    <w:rsidRoot w:val="006E7578"/>
    <w:rsid w:val="006E7578"/>
    <w:rsid w:val="0080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gh</cp:lastModifiedBy>
  <cp:revision>2</cp:revision>
  <dcterms:created xsi:type="dcterms:W3CDTF">2012-02-01T18:02:00Z</dcterms:created>
  <dcterms:modified xsi:type="dcterms:W3CDTF">2012-02-01T18:02:00Z</dcterms:modified>
</cp:coreProperties>
</file>